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FD82" w14:textId="42F379CA" w:rsidR="00385301" w:rsidRDefault="00561FDB">
      <w:pPr>
        <w:pBdr>
          <w:top w:val="nil"/>
          <w:left w:val="nil"/>
          <w:bottom w:val="nil"/>
          <w:right w:val="nil"/>
          <w:between w:val="nil"/>
        </w:pBdr>
        <w:spacing w:line="276" w:lineRule="auto"/>
      </w:pPr>
      <w:r>
        <w:rPr>
          <w:noProof/>
          <w:color w:val="000000"/>
          <w:sz w:val="20"/>
          <w:szCs w:val="20"/>
          <w:lang w:val="fr-CA"/>
        </w:rPr>
        <w:drawing>
          <wp:anchor distT="0" distB="0" distL="114300" distR="114300" simplePos="0" relativeHeight="251662336" behindDoc="0" locked="0" layoutInCell="1" allowOverlap="1" wp14:anchorId="11942529" wp14:editId="79CB87C5">
            <wp:simplePos x="0" y="0"/>
            <wp:positionH relativeFrom="margin">
              <wp:posOffset>1359332</wp:posOffset>
            </wp:positionH>
            <wp:positionV relativeFrom="margin">
              <wp:posOffset>-453543</wp:posOffset>
            </wp:positionV>
            <wp:extent cx="3584448" cy="753368"/>
            <wp:effectExtent l="0" t="0" r="0" b="8890"/>
            <wp:wrapSquare wrapText="bothSides"/>
            <wp:docPr id="7"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jpg" descr="Text&#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3584448" cy="753368"/>
                    </a:xfrm>
                    <a:prstGeom prst="rect">
                      <a:avLst/>
                    </a:prstGeom>
                    <a:ln/>
                  </pic:spPr>
                </pic:pic>
              </a:graphicData>
            </a:graphic>
          </wp:anchor>
        </w:drawing>
      </w:r>
      <w:r w:rsidR="00335811">
        <w:rPr>
          <w:noProof/>
          <w:lang w:val="fr-CA"/>
        </w:rPr>
        <mc:AlternateContent>
          <mc:Choice Requires="wps">
            <w:drawing>
              <wp:anchor distT="0" distB="0" distL="114300" distR="114300" simplePos="0" relativeHeight="251656192" behindDoc="0" locked="0" layoutInCell="1" allowOverlap="1" wp14:anchorId="696539DC" wp14:editId="6B699332">
                <wp:simplePos x="0" y="0"/>
                <wp:positionH relativeFrom="column">
                  <wp:posOffset>0</wp:posOffset>
                </wp:positionH>
                <wp:positionV relativeFrom="paragraph">
                  <wp:posOffset>0</wp:posOffset>
                </wp:positionV>
                <wp:extent cx="635000" cy="635000"/>
                <wp:effectExtent l="0" t="0" r="3175" b="3175"/>
                <wp:wrapNone/>
                <wp:docPr id="6" name="WordArt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20BF5E" id="_x0000_t202" coordsize="21600,21600" o:spt="202" path="m,l,21600r21600,l21600,xe">
                <v:stroke joinstyle="miter"/>
                <v:path gradientshapeok="t" o:connecttype="rect"/>
              </v:shapetype>
              <v:shape id="WordArt 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Wm+AEAAOUDAAAOAAAAZHJzL2Uyb0RvYy54bWysU09v0zAUvyPxHSzfabIhCoqaTmVjXAZM&#10;atHOr7bTeIv9jO026bfn2Um7Cm6IS2Q/279/72VxM5iOHZQPGm3Nr2YlZ8oKlNruav5zc//uE2ch&#10;gpXQoVU1P6rAb5Zv3yx6V6lrbLGTyjMCsaHqXc3bGF1VFEG0ykCYoVOWDhv0BiJt/a6QHnpCN11x&#10;XZbzokcvnUehQqDq3XjIlxm/aZSIP5omqMi6mpO2mL8+f7fpWywXUO08uFaLSQb8gwoD2hLpGeoO&#10;IrC9139BGS08BmziTKApsGm0UNkDubkq/3CzbsGp7IXCCe4cU/h/sOL74dEzLWs+58yCoRY9UaIr&#10;H9lHzlotpUp9TTn1LlR0fe3oQRw+45DqyXNwDyheArO4Vh0lnuq0uW3B7tTKe+xbBZJEX5Sztc3R&#10;EV+ubtQQv0id3xJXcUE2ModEu+2/oaQnsI+YqYfGmySBgmSkhzp8PHeVEJmg4vz9h7KkE0FH0zox&#10;QHV67HyIXxUalhY192Qhg8PhIcTx6unKpCyJGWVtUR5JWE8TVPPwaw9ekfe9uUUaOHLWeDRToGmf&#10;tCaszfAE3k2EkZQ+dqcJyqx5lOTUEJDPBGQ6GswDdCy5yYNLFqbLtHpFHVuyoojudZafshx1TvJp&#10;lnIA09ynYb3c51uvf+fyN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CdeWm+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sidR="00335811">
        <w:rPr>
          <w:noProof/>
          <w:lang w:val="fr-CA"/>
        </w:rPr>
        <mc:AlternateContent>
          <mc:Choice Requires="wps">
            <w:drawing>
              <wp:anchor distT="0" distB="0" distL="114300" distR="114300" simplePos="0" relativeHeight="251657216" behindDoc="0" locked="0" layoutInCell="1" allowOverlap="1" wp14:anchorId="4C40E30B" wp14:editId="7052FCD4">
                <wp:simplePos x="0" y="0"/>
                <wp:positionH relativeFrom="column">
                  <wp:posOffset>0</wp:posOffset>
                </wp:positionH>
                <wp:positionV relativeFrom="paragraph">
                  <wp:posOffset>0</wp:posOffset>
                </wp:positionV>
                <wp:extent cx="635000" cy="635000"/>
                <wp:effectExtent l="0" t="0" r="3175" b="3175"/>
                <wp:wrapNone/>
                <wp:docPr id="5"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0D0BEE" id="WordArt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1x9wEAAOUDAAAOAAAAZHJzL2Uyb0RvYy54bWysU09v2yAUv0/ad0DcF7udGk1WnCpt1126&#10;rVIy9fwCOGYzPAYkdr79HthJo+029WLBA37/3vPidjAdOygfNNqaX81KzpQVKLXd1fzH5vHDJ85C&#10;BCuhQ6tqflSB3y7fv1v0rlLX2GInlWcEYkPVu5q3MbqqKIJolYEwQ6csHTboDUTa+l0hPfSEbrri&#10;uiznRY9eOo9ChUDVh/GQLzN+0ygRvzdNUJF1NSdtMX99/m7Tt1guoNp5cK0Wkwz4DxUGtCXSM9QD&#10;RGB7r/+BMlp4DNjEmUBTYNNoobIHcnNV/uVm3YJT2QuFE9w5pvB2sOLb4dkzLWt+w5kFQy16oURX&#10;PrI5Z62WUqW+ppx6Fyq6vnb0IA53OKR68hzcE4pfgVlcq44ST3Xa3Ldgd2rlPfatAkmiL8rZ2ubo&#10;iC9XN2qIn6XOb4mruCAbmUOi3fZfUdIT2EfM1EPjTZJAQTLSQx0+nrtKiExQcf7xpi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O/2jX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sidR="00335811">
        <w:rPr>
          <w:noProof/>
          <w:lang w:val="fr-CA"/>
        </w:rPr>
        <mc:AlternateContent>
          <mc:Choice Requires="wps">
            <w:drawing>
              <wp:anchor distT="0" distB="0" distL="114300" distR="114300" simplePos="0" relativeHeight="251658240" behindDoc="0" locked="0" layoutInCell="1" allowOverlap="1" wp14:anchorId="3ABA3712" wp14:editId="14DF704E">
                <wp:simplePos x="0" y="0"/>
                <wp:positionH relativeFrom="column">
                  <wp:posOffset>0</wp:posOffset>
                </wp:positionH>
                <wp:positionV relativeFrom="paragraph">
                  <wp:posOffset>0</wp:posOffset>
                </wp:positionV>
                <wp:extent cx="635000" cy="635000"/>
                <wp:effectExtent l="0" t="0" r="3175" b="3175"/>
                <wp:wrapNone/>
                <wp:docPr id="4" name="WordAr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6F0687" id="WordArt 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t+AEAAOUDAAAOAAAAZHJzL2Uyb0RvYy54bWysU09v2yAUv0/ad0DcF7vdW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X/xJkFQy16pkSX&#10;PrIrzlotpUp9TTn1LlR0feXoQRy+4JDqyXNwDyh+B2ZxpTpKPNVpc9uC3aql99i3CiSJPitna+uD&#10;I75cXashfpU6vyWu4oxsZA6JdtN/R0lPYBcxUw+NN0kCBclID3X4cOoqITJBxeuPV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raS+t+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sidR="00335811">
        <w:rPr>
          <w:noProof/>
          <w:lang w:val="fr-CA"/>
        </w:rPr>
        <mc:AlternateContent>
          <mc:Choice Requires="wps">
            <w:drawing>
              <wp:anchor distT="0" distB="0" distL="114300" distR="114300" simplePos="0" relativeHeight="251659264" behindDoc="0" locked="0" layoutInCell="1" allowOverlap="1" wp14:anchorId="5AE40DBE" wp14:editId="79F00EB5">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50513E" id="WordArt 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sidR="00335811">
        <w:rPr>
          <w:noProof/>
          <w:lang w:val="fr-CA"/>
        </w:rPr>
        <mc:AlternateContent>
          <mc:Choice Requires="wps">
            <w:drawing>
              <wp:anchor distT="0" distB="0" distL="114300" distR="114300" simplePos="0" relativeHeight="251660288" behindDoc="0" locked="0" layoutInCell="1" allowOverlap="1" wp14:anchorId="09712A0C" wp14:editId="5566BE3D">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191025" id="WordArt 3"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sidR="00335811">
        <w:rPr>
          <w:noProof/>
          <w:lang w:val="fr-CA"/>
        </w:rPr>
        <mc:AlternateContent>
          <mc:Choice Requires="wps">
            <w:drawing>
              <wp:anchor distT="0" distB="0" distL="114300" distR="114300" simplePos="0" relativeHeight="251661312" behindDoc="0" locked="0" layoutInCell="1" allowOverlap="1" wp14:anchorId="619D069F" wp14:editId="6013E125">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9D5518" id="WordArt 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2F9638F9" w14:textId="7C631FEE" w:rsidR="00385301" w:rsidRDefault="00385301">
      <w:pPr>
        <w:pBdr>
          <w:top w:val="nil"/>
          <w:left w:val="nil"/>
          <w:bottom w:val="nil"/>
          <w:right w:val="nil"/>
          <w:between w:val="nil"/>
        </w:pBdr>
        <w:ind w:left="1751"/>
        <w:rPr>
          <w:rFonts w:ascii="Arial" w:eastAsia="Arial" w:hAnsi="Arial" w:cs="Arial"/>
          <w:color w:val="000000"/>
          <w:sz w:val="24"/>
          <w:szCs w:val="24"/>
          <w:highlight w:val="yellow"/>
        </w:rPr>
      </w:pPr>
      <w:bookmarkStart w:id="0" w:name="bookmark=id.gjdgxs" w:colFirst="0" w:colLast="0"/>
      <w:bookmarkEnd w:id="0"/>
    </w:p>
    <w:p w14:paraId="31146CA5" w14:textId="77777777" w:rsidR="00385301" w:rsidRDefault="00B03F1C">
      <w:pPr>
        <w:pBdr>
          <w:top w:val="nil"/>
          <w:left w:val="nil"/>
          <w:bottom w:val="nil"/>
          <w:right w:val="nil"/>
          <w:between w:val="nil"/>
        </w:pBdr>
        <w:ind w:left="1751"/>
        <w:jc w:val="right"/>
        <w:rPr>
          <w:rFonts w:ascii="Arial" w:eastAsia="Arial" w:hAnsi="Arial" w:cs="Arial"/>
          <w:color w:val="000000"/>
          <w:sz w:val="24"/>
          <w:szCs w:val="24"/>
        </w:rPr>
      </w:pPr>
      <w:r>
        <w:rPr>
          <w:rFonts w:ascii="Arial" w:eastAsia="Arial" w:hAnsi="Arial" w:cs="Arial"/>
          <w:color w:val="000000"/>
          <w:sz w:val="24"/>
          <w:szCs w:val="24"/>
          <w:lang w:val="fr-CA"/>
        </w:rPr>
        <w:t>Le 5 février 2020</w:t>
      </w:r>
    </w:p>
    <w:p w14:paraId="7798B4A7" w14:textId="77777777" w:rsidR="00385301" w:rsidRDefault="00385301">
      <w:pPr>
        <w:pBdr>
          <w:top w:val="nil"/>
          <w:left w:val="nil"/>
          <w:bottom w:val="nil"/>
          <w:right w:val="nil"/>
          <w:between w:val="nil"/>
        </w:pBdr>
        <w:spacing w:before="9"/>
        <w:rPr>
          <w:rFonts w:ascii="Arial" w:eastAsia="Arial" w:hAnsi="Arial" w:cs="Arial"/>
          <w:color w:val="000000"/>
          <w:sz w:val="23"/>
          <w:szCs w:val="23"/>
        </w:rPr>
      </w:pPr>
    </w:p>
    <w:p w14:paraId="0CDC9C7D" w14:textId="0610317E" w:rsidR="00385301" w:rsidRDefault="00882D31" w:rsidP="004A1BF6">
      <w:pPr>
        <w:pBdr>
          <w:top w:val="nil"/>
          <w:left w:val="nil"/>
          <w:bottom w:val="nil"/>
          <w:right w:val="nil"/>
          <w:between w:val="nil"/>
        </w:pBdr>
        <w:ind w:left="460" w:right="5260"/>
        <w:rPr>
          <w:rFonts w:ascii="Arial" w:eastAsia="Arial" w:hAnsi="Arial" w:cs="Arial"/>
          <w:color w:val="000000"/>
          <w:sz w:val="24"/>
          <w:szCs w:val="24"/>
        </w:rPr>
      </w:pPr>
      <w:r>
        <w:rPr>
          <w:rFonts w:ascii="Arial" w:eastAsia="Arial" w:hAnsi="Arial" w:cs="Arial"/>
          <w:color w:val="000000"/>
          <w:sz w:val="24"/>
          <w:szCs w:val="24"/>
          <w:lang w:val="fr-CA"/>
        </w:rPr>
        <w:t xml:space="preserve">L’honorable Jeannie </w:t>
      </w:r>
      <w:proofErr w:type="spellStart"/>
      <w:r>
        <w:rPr>
          <w:rFonts w:ascii="Arial" w:eastAsia="Arial" w:hAnsi="Arial" w:cs="Arial"/>
          <w:color w:val="000000"/>
          <w:sz w:val="24"/>
          <w:szCs w:val="24"/>
          <w:lang w:val="fr-CA"/>
        </w:rPr>
        <w:t>Ehaloak</w:t>
      </w:r>
      <w:proofErr w:type="spellEnd"/>
      <w:r>
        <w:rPr>
          <w:rFonts w:ascii="Arial" w:eastAsia="Arial" w:hAnsi="Arial" w:cs="Arial"/>
          <w:color w:val="000000"/>
          <w:sz w:val="24"/>
          <w:szCs w:val="24"/>
          <w:lang w:val="fr-CA"/>
        </w:rPr>
        <w:t>, ministre responsable de la Société d’énergie Qulliq, Assemblée législative du Nunavut</w:t>
      </w:r>
    </w:p>
    <w:p w14:paraId="066C211C" w14:textId="77777777" w:rsidR="00385301" w:rsidRDefault="00882D31" w:rsidP="006A12F4">
      <w:pPr>
        <w:pBdr>
          <w:top w:val="nil"/>
          <w:left w:val="nil"/>
          <w:bottom w:val="nil"/>
          <w:right w:val="nil"/>
          <w:between w:val="nil"/>
        </w:pBdr>
        <w:ind w:left="460" w:right="6610"/>
        <w:rPr>
          <w:rFonts w:ascii="Arial" w:eastAsia="Arial" w:hAnsi="Arial" w:cs="Arial"/>
          <w:color w:val="000000"/>
          <w:sz w:val="24"/>
          <w:szCs w:val="24"/>
        </w:rPr>
      </w:pPr>
      <w:proofErr w:type="spellStart"/>
      <w:r>
        <w:rPr>
          <w:rFonts w:ascii="Arial" w:eastAsia="Arial" w:hAnsi="Arial" w:cs="Arial"/>
          <w:color w:val="000000"/>
          <w:sz w:val="24"/>
          <w:szCs w:val="24"/>
          <w:lang w:val="fr-CA"/>
        </w:rPr>
        <w:t>C.P</w:t>
      </w:r>
      <w:proofErr w:type="spellEnd"/>
      <w:r>
        <w:rPr>
          <w:rFonts w:ascii="Arial" w:eastAsia="Arial" w:hAnsi="Arial" w:cs="Arial"/>
          <w:color w:val="000000"/>
          <w:sz w:val="24"/>
          <w:szCs w:val="24"/>
          <w:lang w:val="fr-CA"/>
        </w:rPr>
        <w:t>. 2410 Iqaluit (</w:t>
      </w:r>
      <w:proofErr w:type="gramStart"/>
      <w:r>
        <w:rPr>
          <w:rFonts w:ascii="Arial" w:eastAsia="Arial" w:hAnsi="Arial" w:cs="Arial"/>
          <w:color w:val="000000"/>
          <w:sz w:val="24"/>
          <w:szCs w:val="24"/>
          <w:lang w:val="fr-CA"/>
        </w:rPr>
        <w:t>Nunavut)  X</w:t>
      </w:r>
      <w:proofErr w:type="gramEnd"/>
      <w:r>
        <w:rPr>
          <w:rFonts w:ascii="Arial" w:eastAsia="Arial" w:hAnsi="Arial" w:cs="Arial"/>
          <w:color w:val="000000"/>
          <w:sz w:val="24"/>
          <w:szCs w:val="24"/>
          <w:lang w:val="fr-CA"/>
        </w:rPr>
        <w:t>0A 0H0</w:t>
      </w:r>
    </w:p>
    <w:p w14:paraId="7D3EDD66" w14:textId="77777777" w:rsidR="00385301" w:rsidRDefault="00385301">
      <w:pPr>
        <w:pBdr>
          <w:top w:val="nil"/>
          <w:left w:val="nil"/>
          <w:bottom w:val="nil"/>
          <w:right w:val="nil"/>
          <w:between w:val="nil"/>
        </w:pBdr>
        <w:rPr>
          <w:rFonts w:ascii="Arial" w:eastAsia="Arial" w:hAnsi="Arial" w:cs="Arial"/>
          <w:color w:val="000000"/>
        </w:rPr>
      </w:pPr>
    </w:p>
    <w:p w14:paraId="6FC09507" w14:textId="77777777" w:rsidR="00385301" w:rsidRDefault="00882D31">
      <w:pPr>
        <w:pBdr>
          <w:top w:val="nil"/>
          <w:left w:val="nil"/>
          <w:bottom w:val="nil"/>
          <w:right w:val="nil"/>
          <w:between w:val="nil"/>
        </w:pBdr>
        <w:ind w:left="460"/>
        <w:rPr>
          <w:rFonts w:ascii="Arial" w:eastAsia="Arial" w:hAnsi="Arial" w:cs="Arial"/>
          <w:color w:val="000000"/>
          <w:sz w:val="24"/>
          <w:szCs w:val="24"/>
        </w:rPr>
      </w:pPr>
      <w:r>
        <w:rPr>
          <w:rFonts w:ascii="Arial" w:eastAsia="Arial" w:hAnsi="Arial" w:cs="Arial"/>
          <w:color w:val="000000"/>
          <w:sz w:val="24"/>
          <w:szCs w:val="24"/>
          <w:lang w:val="fr-CA"/>
        </w:rPr>
        <w:t>Madame la Ministre,</w:t>
      </w:r>
    </w:p>
    <w:p w14:paraId="4A221ADD" w14:textId="77777777" w:rsidR="00385301" w:rsidRDefault="00385301">
      <w:pPr>
        <w:pBdr>
          <w:top w:val="nil"/>
          <w:left w:val="nil"/>
          <w:bottom w:val="nil"/>
          <w:right w:val="nil"/>
          <w:between w:val="nil"/>
        </w:pBdr>
        <w:rPr>
          <w:rFonts w:ascii="Arial" w:eastAsia="Arial" w:hAnsi="Arial" w:cs="Arial"/>
          <w:color w:val="000000"/>
          <w:sz w:val="24"/>
          <w:szCs w:val="24"/>
        </w:rPr>
      </w:pPr>
    </w:p>
    <w:p w14:paraId="196D6ABA" w14:textId="344AEAF8" w:rsidR="00385301" w:rsidRDefault="00882D31">
      <w:pPr>
        <w:pBdr>
          <w:top w:val="nil"/>
          <w:left w:val="nil"/>
          <w:bottom w:val="nil"/>
          <w:right w:val="nil"/>
          <w:between w:val="nil"/>
        </w:pBdr>
        <w:ind w:left="460"/>
        <w:rPr>
          <w:rFonts w:ascii="Arial" w:eastAsia="Arial" w:hAnsi="Arial" w:cs="Arial"/>
          <w:color w:val="000000"/>
          <w:sz w:val="24"/>
          <w:szCs w:val="24"/>
        </w:rPr>
      </w:pPr>
      <w:r>
        <w:rPr>
          <w:rFonts w:ascii="Arial" w:eastAsia="Arial" w:hAnsi="Arial" w:cs="Arial"/>
          <w:color w:val="000000"/>
          <w:sz w:val="24"/>
          <w:szCs w:val="24"/>
          <w:lang w:val="fr-CA"/>
        </w:rPr>
        <w:t xml:space="preserve">OBJET : La demande de permis de projet d’immobilisations majeur concernant la </w:t>
      </w:r>
      <w:r>
        <w:rPr>
          <w:rFonts w:ascii="Arial" w:eastAsia="Arial" w:hAnsi="Arial" w:cs="Arial"/>
          <w:sz w:val="24"/>
          <w:szCs w:val="24"/>
          <w:lang w:val="fr-CA"/>
        </w:rPr>
        <w:t xml:space="preserve">construction d’une </w:t>
      </w:r>
      <w:r>
        <w:rPr>
          <w:rFonts w:ascii="Arial" w:eastAsia="Arial" w:hAnsi="Arial" w:cs="Arial"/>
          <w:color w:val="000000"/>
          <w:sz w:val="24"/>
          <w:szCs w:val="24"/>
          <w:lang w:val="fr-CA"/>
        </w:rPr>
        <w:t xml:space="preserve">nouvelle centrale électrique à </w:t>
      </w:r>
      <w:proofErr w:type="spellStart"/>
      <w:r>
        <w:rPr>
          <w:rFonts w:ascii="Arial" w:eastAsia="Arial" w:hAnsi="Arial" w:cs="Arial"/>
          <w:color w:val="000000"/>
          <w:sz w:val="24"/>
          <w:szCs w:val="24"/>
          <w:lang w:val="fr-CA"/>
        </w:rPr>
        <w:t>Arctic</w:t>
      </w:r>
      <w:proofErr w:type="spellEnd"/>
      <w:r>
        <w:rPr>
          <w:rFonts w:ascii="Arial" w:eastAsia="Arial" w:hAnsi="Arial" w:cs="Arial"/>
          <w:color w:val="000000"/>
          <w:sz w:val="24"/>
          <w:szCs w:val="24"/>
          <w:lang w:val="fr-CA"/>
        </w:rPr>
        <w:t xml:space="preserve"> Bay, rapport du Conseil d’examen des taux des entreprises de service</w:t>
      </w:r>
      <w:r w:rsidR="00954B7B">
        <w:rPr>
          <w:rFonts w:ascii="Arial" w:eastAsia="Arial" w:hAnsi="Arial" w:cs="Arial"/>
          <w:color w:val="000000"/>
          <w:sz w:val="24"/>
          <w:szCs w:val="24"/>
          <w:lang w:val="fr-CA"/>
        </w:rPr>
        <w:t>s</w:t>
      </w:r>
      <w:r>
        <w:rPr>
          <w:rFonts w:ascii="Arial" w:eastAsia="Arial" w:hAnsi="Arial" w:cs="Arial"/>
          <w:color w:val="000000"/>
          <w:sz w:val="24"/>
          <w:szCs w:val="24"/>
          <w:lang w:val="fr-CA"/>
        </w:rPr>
        <w:t xml:space="preserve"> du Nunavut 2020-01.</w:t>
      </w:r>
    </w:p>
    <w:p w14:paraId="15A41E44" w14:textId="77777777" w:rsidR="00385301" w:rsidRDefault="00385301">
      <w:pPr>
        <w:pBdr>
          <w:top w:val="nil"/>
          <w:left w:val="nil"/>
          <w:bottom w:val="nil"/>
          <w:right w:val="nil"/>
          <w:between w:val="nil"/>
        </w:pBdr>
        <w:rPr>
          <w:rFonts w:ascii="Arial" w:eastAsia="Arial" w:hAnsi="Arial" w:cs="Arial"/>
          <w:color w:val="000000"/>
          <w:sz w:val="24"/>
          <w:szCs w:val="24"/>
        </w:rPr>
      </w:pPr>
    </w:p>
    <w:p w14:paraId="5429CF20" w14:textId="3924F154" w:rsidR="00385301" w:rsidRDefault="00882D31">
      <w:pPr>
        <w:pBdr>
          <w:top w:val="nil"/>
          <w:left w:val="nil"/>
          <w:bottom w:val="nil"/>
          <w:right w:val="nil"/>
          <w:between w:val="nil"/>
        </w:pBdr>
        <w:ind w:left="460" w:right="474"/>
        <w:jc w:val="both"/>
        <w:rPr>
          <w:rFonts w:ascii="Arial" w:eastAsia="Arial" w:hAnsi="Arial" w:cs="Arial"/>
          <w:color w:val="000000"/>
          <w:sz w:val="24"/>
          <w:szCs w:val="24"/>
        </w:rPr>
      </w:pPr>
      <w:r>
        <w:rPr>
          <w:rFonts w:ascii="Arial" w:eastAsia="Arial" w:hAnsi="Arial" w:cs="Arial"/>
          <w:color w:val="000000"/>
          <w:sz w:val="24"/>
          <w:szCs w:val="24"/>
          <w:lang w:val="fr-CA"/>
        </w:rPr>
        <w:t>Au moyen d’une lettre datée du 8 novembre 2019, la Société d’énergie Qulliq (</w:t>
      </w:r>
      <w:proofErr w:type="spellStart"/>
      <w:r>
        <w:rPr>
          <w:rFonts w:ascii="Arial" w:eastAsia="Arial" w:hAnsi="Arial" w:cs="Arial"/>
          <w:color w:val="000000"/>
          <w:sz w:val="24"/>
          <w:szCs w:val="24"/>
          <w:lang w:val="fr-CA"/>
        </w:rPr>
        <w:t>SÉQ</w:t>
      </w:r>
      <w:proofErr w:type="spellEnd"/>
      <w:r>
        <w:rPr>
          <w:rFonts w:ascii="Arial" w:eastAsia="Arial" w:hAnsi="Arial" w:cs="Arial"/>
          <w:color w:val="000000"/>
          <w:sz w:val="24"/>
          <w:szCs w:val="24"/>
          <w:lang w:val="fr-CA"/>
        </w:rPr>
        <w:t>) a déposé, auprès de la ministre responsable de l’approbation, une demande de permis de projet d’immobilisations majeur concernant la construction d’une nouvelle centrale électrique dans la collectivité d’</w:t>
      </w:r>
      <w:proofErr w:type="spellStart"/>
      <w:r>
        <w:rPr>
          <w:rFonts w:ascii="Arial" w:eastAsia="Arial" w:hAnsi="Arial" w:cs="Arial"/>
          <w:color w:val="000000"/>
          <w:sz w:val="24"/>
          <w:szCs w:val="24"/>
          <w:lang w:val="fr-CA"/>
        </w:rPr>
        <w:t>Arctic</w:t>
      </w:r>
      <w:proofErr w:type="spellEnd"/>
      <w:r>
        <w:rPr>
          <w:rFonts w:ascii="Arial" w:eastAsia="Arial" w:hAnsi="Arial" w:cs="Arial"/>
          <w:color w:val="000000"/>
          <w:sz w:val="24"/>
          <w:szCs w:val="24"/>
          <w:lang w:val="fr-CA"/>
        </w:rPr>
        <w:t xml:space="preserve"> Bay. Dans une lettre datée du 13 novembre 2019, la ministre responsable de la </w:t>
      </w:r>
      <w:proofErr w:type="spellStart"/>
      <w:r>
        <w:rPr>
          <w:rFonts w:ascii="Arial" w:eastAsia="Arial" w:hAnsi="Arial" w:cs="Arial"/>
          <w:color w:val="000000"/>
          <w:sz w:val="24"/>
          <w:szCs w:val="24"/>
          <w:lang w:val="fr-CA"/>
        </w:rPr>
        <w:t>SÉQ</w:t>
      </w:r>
      <w:proofErr w:type="spellEnd"/>
      <w:r>
        <w:rPr>
          <w:rFonts w:ascii="Arial" w:eastAsia="Arial" w:hAnsi="Arial" w:cs="Arial"/>
          <w:color w:val="000000"/>
          <w:sz w:val="24"/>
          <w:szCs w:val="24"/>
          <w:lang w:val="fr-CA"/>
        </w:rPr>
        <w:t xml:space="preserve"> a demandé au Conseil d’examen des taux des entreprises de service</w:t>
      </w:r>
      <w:r w:rsidR="00954B7B">
        <w:rPr>
          <w:rFonts w:ascii="Arial" w:eastAsia="Arial" w:hAnsi="Arial" w:cs="Arial"/>
          <w:color w:val="000000"/>
          <w:sz w:val="24"/>
          <w:szCs w:val="24"/>
          <w:lang w:val="fr-CA"/>
        </w:rPr>
        <w:t>s</w:t>
      </w:r>
      <w:r>
        <w:rPr>
          <w:rFonts w:ascii="Arial" w:eastAsia="Arial" w:hAnsi="Arial" w:cs="Arial"/>
          <w:color w:val="000000"/>
          <w:sz w:val="24"/>
          <w:szCs w:val="24"/>
          <w:lang w:val="fr-CA"/>
        </w:rPr>
        <w:t xml:space="preserve"> (</w:t>
      </w:r>
      <w:proofErr w:type="spellStart"/>
      <w:r>
        <w:rPr>
          <w:rFonts w:ascii="Arial" w:eastAsia="Arial" w:hAnsi="Arial" w:cs="Arial"/>
          <w:color w:val="000000"/>
          <w:sz w:val="24"/>
          <w:szCs w:val="24"/>
          <w:lang w:val="fr-CA"/>
        </w:rPr>
        <w:t>CETES</w:t>
      </w:r>
      <w:proofErr w:type="spellEnd"/>
      <w:r>
        <w:rPr>
          <w:rFonts w:ascii="Arial" w:eastAsia="Arial" w:hAnsi="Arial" w:cs="Arial"/>
          <w:color w:val="000000"/>
          <w:sz w:val="24"/>
          <w:szCs w:val="24"/>
          <w:lang w:val="fr-CA"/>
        </w:rPr>
        <w:t xml:space="preserve">) des conseils à propos de la demande de la </w:t>
      </w:r>
      <w:proofErr w:type="spellStart"/>
      <w:r>
        <w:rPr>
          <w:rFonts w:ascii="Arial" w:eastAsia="Arial" w:hAnsi="Arial" w:cs="Arial"/>
          <w:color w:val="000000"/>
          <w:sz w:val="24"/>
          <w:szCs w:val="24"/>
          <w:lang w:val="fr-CA"/>
        </w:rPr>
        <w:t>SÉQ</w:t>
      </w:r>
      <w:proofErr w:type="spellEnd"/>
      <w:r>
        <w:rPr>
          <w:rFonts w:ascii="Arial" w:eastAsia="Arial" w:hAnsi="Arial" w:cs="Arial"/>
          <w:color w:val="000000"/>
          <w:sz w:val="24"/>
          <w:szCs w:val="24"/>
          <w:lang w:val="fr-CA"/>
        </w:rPr>
        <w:t>.</w:t>
      </w:r>
    </w:p>
    <w:p w14:paraId="62FBCFD8" w14:textId="77777777" w:rsidR="00385301" w:rsidRDefault="00385301">
      <w:pPr>
        <w:pBdr>
          <w:top w:val="nil"/>
          <w:left w:val="nil"/>
          <w:bottom w:val="nil"/>
          <w:right w:val="nil"/>
          <w:between w:val="nil"/>
        </w:pBdr>
        <w:rPr>
          <w:rFonts w:ascii="Arial" w:eastAsia="Arial" w:hAnsi="Arial" w:cs="Arial"/>
          <w:color w:val="000000"/>
          <w:sz w:val="24"/>
          <w:szCs w:val="24"/>
        </w:rPr>
      </w:pPr>
    </w:p>
    <w:p w14:paraId="71618DC6" w14:textId="77777777" w:rsidR="00385301" w:rsidRDefault="00882D31">
      <w:pPr>
        <w:pBdr>
          <w:top w:val="nil"/>
          <w:left w:val="nil"/>
          <w:bottom w:val="nil"/>
          <w:right w:val="nil"/>
          <w:between w:val="nil"/>
        </w:pBdr>
        <w:ind w:left="460" w:right="473"/>
        <w:jc w:val="both"/>
        <w:rPr>
          <w:rFonts w:ascii="Arial" w:eastAsia="Arial" w:hAnsi="Arial" w:cs="Arial"/>
          <w:color w:val="000000"/>
          <w:sz w:val="24"/>
          <w:szCs w:val="24"/>
        </w:rPr>
      </w:pPr>
      <w:r>
        <w:rPr>
          <w:rFonts w:ascii="Arial" w:eastAsia="Arial" w:hAnsi="Arial" w:cs="Arial"/>
          <w:color w:val="000000"/>
          <w:sz w:val="24"/>
          <w:szCs w:val="24"/>
          <w:lang w:val="fr-CA"/>
        </w:rPr>
        <w:t xml:space="preserve">En réponse à la demande et à la requête de la ministre, vous trouverez ci-joint le rapport 2020-01 du </w:t>
      </w:r>
      <w:proofErr w:type="spellStart"/>
      <w:r>
        <w:rPr>
          <w:rFonts w:ascii="Arial" w:eastAsia="Arial" w:hAnsi="Arial" w:cs="Arial"/>
          <w:color w:val="000000"/>
          <w:sz w:val="24"/>
          <w:szCs w:val="24"/>
          <w:lang w:val="fr-CA"/>
        </w:rPr>
        <w:t>CETES</w:t>
      </w:r>
      <w:proofErr w:type="spellEnd"/>
      <w:r>
        <w:rPr>
          <w:rFonts w:ascii="Arial" w:eastAsia="Arial" w:hAnsi="Arial" w:cs="Arial"/>
          <w:color w:val="000000"/>
          <w:sz w:val="24"/>
          <w:szCs w:val="24"/>
          <w:lang w:val="fr-CA"/>
        </w:rPr>
        <w:t xml:space="preserve"> en lien avec la demande de permis pour projet majeur de la </w:t>
      </w:r>
      <w:proofErr w:type="spellStart"/>
      <w:r>
        <w:rPr>
          <w:rFonts w:ascii="Arial" w:eastAsia="Arial" w:hAnsi="Arial" w:cs="Arial"/>
          <w:color w:val="000000"/>
          <w:sz w:val="24"/>
          <w:szCs w:val="24"/>
          <w:lang w:val="fr-CA"/>
        </w:rPr>
        <w:t>SÉQ</w:t>
      </w:r>
      <w:proofErr w:type="spellEnd"/>
      <w:r>
        <w:rPr>
          <w:rFonts w:ascii="Arial" w:eastAsia="Arial" w:hAnsi="Arial" w:cs="Arial"/>
          <w:color w:val="000000"/>
          <w:sz w:val="24"/>
          <w:szCs w:val="24"/>
          <w:lang w:val="fr-CA"/>
        </w:rPr>
        <w:t>.</w:t>
      </w:r>
    </w:p>
    <w:p w14:paraId="4688CBE2" w14:textId="77777777" w:rsidR="00385301" w:rsidRDefault="00385301">
      <w:pPr>
        <w:pBdr>
          <w:top w:val="nil"/>
          <w:left w:val="nil"/>
          <w:bottom w:val="nil"/>
          <w:right w:val="nil"/>
          <w:between w:val="nil"/>
        </w:pBdr>
        <w:rPr>
          <w:rFonts w:ascii="Arial" w:eastAsia="Arial" w:hAnsi="Arial" w:cs="Arial"/>
          <w:color w:val="000000"/>
          <w:sz w:val="24"/>
          <w:szCs w:val="24"/>
        </w:rPr>
      </w:pPr>
    </w:p>
    <w:p w14:paraId="090266C2" w14:textId="77777777" w:rsidR="00385301" w:rsidRDefault="00882D31">
      <w:pPr>
        <w:pBdr>
          <w:top w:val="nil"/>
          <w:left w:val="nil"/>
          <w:bottom w:val="nil"/>
          <w:right w:val="nil"/>
          <w:between w:val="nil"/>
        </w:pBdr>
        <w:ind w:left="460"/>
        <w:rPr>
          <w:rFonts w:ascii="Arial" w:eastAsia="Arial" w:hAnsi="Arial" w:cs="Arial"/>
          <w:color w:val="000000"/>
          <w:sz w:val="21"/>
          <w:szCs w:val="21"/>
        </w:rPr>
      </w:pPr>
      <w:r>
        <w:rPr>
          <w:rFonts w:ascii="Arial" w:eastAsia="Arial" w:hAnsi="Arial" w:cs="Arial"/>
          <w:color w:val="000000"/>
          <w:sz w:val="24"/>
          <w:szCs w:val="24"/>
          <w:lang w:val="fr-CA"/>
        </w:rPr>
        <w:t>Nous vous remercions de l’attention que vous porterez aux présentes.</w:t>
      </w:r>
    </w:p>
    <w:p w14:paraId="3C2CE928" w14:textId="77777777" w:rsidR="00385301" w:rsidRDefault="00882D31">
      <w:pPr>
        <w:pBdr>
          <w:top w:val="nil"/>
          <w:left w:val="nil"/>
          <w:bottom w:val="nil"/>
          <w:right w:val="nil"/>
          <w:between w:val="nil"/>
        </w:pBdr>
        <w:spacing w:before="6"/>
        <w:rPr>
          <w:rFonts w:ascii="Arial" w:eastAsia="Arial" w:hAnsi="Arial" w:cs="Arial"/>
          <w:color w:val="000000"/>
          <w:sz w:val="21"/>
          <w:szCs w:val="21"/>
        </w:rPr>
      </w:pPr>
      <w:r>
        <w:rPr>
          <w:rFonts w:ascii="Arial" w:eastAsia="Arial" w:hAnsi="Arial" w:cs="Arial"/>
          <w:b/>
          <w:bCs/>
          <w:noProof/>
          <w:color w:val="000000"/>
          <w:sz w:val="21"/>
          <w:szCs w:val="21"/>
          <w:lang w:val="fr-CA"/>
        </w:rPr>
        <w:drawing>
          <wp:inline distT="0" distB="0" distL="0" distR="0" wp14:anchorId="661E04B0" wp14:editId="5EB47420">
            <wp:extent cx="2523744" cy="1077874"/>
            <wp:effectExtent l="0" t="0" r="0" b="8255"/>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32157" cy="1081467"/>
                    </a:xfrm>
                    <a:prstGeom prst="rect">
                      <a:avLst/>
                    </a:prstGeom>
                    <a:ln/>
                  </pic:spPr>
                </pic:pic>
              </a:graphicData>
            </a:graphic>
          </wp:inline>
        </w:drawing>
      </w:r>
    </w:p>
    <w:p w14:paraId="21F984B7" w14:textId="77777777" w:rsidR="00385301" w:rsidRDefault="00882D31">
      <w:pPr>
        <w:pBdr>
          <w:top w:val="nil"/>
          <w:left w:val="nil"/>
          <w:bottom w:val="nil"/>
          <w:right w:val="nil"/>
          <w:between w:val="nil"/>
        </w:pBdr>
        <w:ind w:left="460" w:right="508"/>
        <w:rPr>
          <w:rFonts w:ascii="Arial" w:eastAsia="Arial" w:hAnsi="Arial" w:cs="Arial"/>
          <w:color w:val="000000"/>
          <w:sz w:val="24"/>
          <w:szCs w:val="24"/>
        </w:rPr>
      </w:pPr>
      <w:r>
        <w:rPr>
          <w:rFonts w:ascii="Arial" w:eastAsia="Arial" w:hAnsi="Arial" w:cs="Arial"/>
          <w:color w:val="000000"/>
          <w:sz w:val="24"/>
          <w:szCs w:val="24"/>
          <w:lang w:val="fr-CA"/>
        </w:rPr>
        <w:t xml:space="preserve">Anthony Rose </w:t>
      </w:r>
    </w:p>
    <w:p w14:paraId="7C652A82" w14:textId="594AF70F" w:rsidR="00385301" w:rsidRDefault="00882D31">
      <w:pPr>
        <w:pBdr>
          <w:top w:val="nil"/>
          <w:left w:val="nil"/>
          <w:bottom w:val="nil"/>
          <w:right w:val="nil"/>
          <w:between w:val="nil"/>
        </w:pBdr>
        <w:ind w:left="460" w:right="508"/>
        <w:rPr>
          <w:rFonts w:ascii="Arial" w:eastAsia="Arial" w:hAnsi="Arial" w:cs="Arial"/>
          <w:color w:val="000000"/>
          <w:sz w:val="24"/>
          <w:szCs w:val="24"/>
        </w:rPr>
      </w:pPr>
      <w:r>
        <w:rPr>
          <w:rFonts w:ascii="Arial" w:eastAsia="Arial" w:hAnsi="Arial" w:cs="Arial"/>
          <w:color w:val="000000"/>
          <w:sz w:val="24"/>
          <w:szCs w:val="24"/>
          <w:lang w:val="fr-CA"/>
        </w:rPr>
        <w:t>Président, Conseil d’examen des taux des entreprises de service</w:t>
      </w:r>
      <w:r w:rsidR="00954B7B">
        <w:rPr>
          <w:rFonts w:ascii="Arial" w:eastAsia="Arial" w:hAnsi="Arial" w:cs="Arial"/>
          <w:color w:val="000000"/>
          <w:sz w:val="24"/>
          <w:szCs w:val="24"/>
          <w:lang w:val="fr-CA"/>
        </w:rPr>
        <w:t>s</w:t>
      </w:r>
      <w:r>
        <w:rPr>
          <w:rFonts w:ascii="Arial" w:eastAsia="Arial" w:hAnsi="Arial" w:cs="Arial"/>
          <w:color w:val="000000"/>
          <w:sz w:val="24"/>
          <w:szCs w:val="24"/>
          <w:lang w:val="fr-CA"/>
        </w:rPr>
        <w:t xml:space="preserve"> du Nunavut</w:t>
      </w:r>
    </w:p>
    <w:p w14:paraId="501CA8BF" w14:textId="77777777" w:rsidR="00385301" w:rsidRDefault="00385301">
      <w:pPr>
        <w:pBdr>
          <w:top w:val="nil"/>
          <w:left w:val="nil"/>
          <w:bottom w:val="nil"/>
          <w:right w:val="nil"/>
          <w:between w:val="nil"/>
        </w:pBdr>
        <w:rPr>
          <w:rFonts w:ascii="Arial" w:eastAsia="Arial" w:hAnsi="Arial" w:cs="Arial"/>
          <w:color w:val="000000"/>
          <w:sz w:val="24"/>
          <w:szCs w:val="24"/>
        </w:rPr>
      </w:pPr>
    </w:p>
    <w:p w14:paraId="76829A66" w14:textId="77777777" w:rsidR="00385301" w:rsidRDefault="00882D31" w:rsidP="004A1BF6">
      <w:pPr>
        <w:pBdr>
          <w:top w:val="nil"/>
          <w:left w:val="nil"/>
          <w:bottom w:val="nil"/>
          <w:right w:val="nil"/>
          <w:between w:val="nil"/>
        </w:pBdr>
        <w:tabs>
          <w:tab w:val="left" w:pos="1179"/>
          <w:tab w:val="left" w:pos="1899"/>
        </w:tabs>
        <w:ind w:left="460" w:right="940"/>
        <w:rPr>
          <w:rFonts w:ascii="Arial" w:eastAsia="Arial" w:hAnsi="Arial" w:cs="Arial"/>
          <w:color w:val="000000"/>
        </w:rPr>
      </w:pPr>
      <w:r>
        <w:rPr>
          <w:rFonts w:ascii="Arial" w:eastAsia="Arial" w:hAnsi="Arial" w:cs="Arial"/>
          <w:color w:val="000000"/>
          <w:sz w:val="24"/>
          <w:szCs w:val="24"/>
          <w:lang w:val="fr-CA"/>
        </w:rPr>
        <w:t>C. C. :</w:t>
      </w:r>
      <w:r>
        <w:rPr>
          <w:rFonts w:ascii="Arial" w:eastAsia="Arial" w:hAnsi="Arial" w:cs="Arial"/>
          <w:color w:val="000000"/>
          <w:sz w:val="24"/>
          <w:szCs w:val="24"/>
          <w:lang w:val="fr-CA"/>
        </w:rPr>
        <w:tab/>
      </w:r>
      <w:r>
        <w:rPr>
          <w:rFonts w:ascii="Arial" w:eastAsia="Arial" w:hAnsi="Arial" w:cs="Arial"/>
          <w:color w:val="000000"/>
          <w:lang w:val="fr-CA"/>
        </w:rPr>
        <w:t xml:space="preserve">Joe </w:t>
      </w:r>
      <w:proofErr w:type="spellStart"/>
      <w:r>
        <w:rPr>
          <w:rFonts w:ascii="Arial" w:eastAsia="Arial" w:hAnsi="Arial" w:cs="Arial"/>
          <w:color w:val="000000"/>
          <w:lang w:val="fr-CA"/>
        </w:rPr>
        <w:t>Savikataaq</w:t>
      </w:r>
      <w:proofErr w:type="spellEnd"/>
      <w:r>
        <w:rPr>
          <w:rFonts w:ascii="Arial" w:eastAsia="Arial" w:hAnsi="Arial" w:cs="Arial"/>
          <w:color w:val="000000"/>
          <w:lang w:val="fr-CA"/>
        </w:rPr>
        <w:t xml:space="preserve">, premier ministre et ministre responsable du </w:t>
      </w:r>
      <w:proofErr w:type="spellStart"/>
      <w:r>
        <w:rPr>
          <w:rFonts w:ascii="Arial" w:eastAsia="Arial" w:hAnsi="Arial" w:cs="Arial"/>
          <w:color w:val="000000"/>
          <w:lang w:val="fr-CA"/>
        </w:rPr>
        <w:t>CETES</w:t>
      </w:r>
      <w:proofErr w:type="spellEnd"/>
      <w:r>
        <w:rPr>
          <w:rFonts w:ascii="Arial" w:eastAsia="Arial" w:hAnsi="Arial" w:cs="Arial"/>
          <w:color w:val="000000"/>
          <w:lang w:val="fr-CA"/>
        </w:rPr>
        <w:t xml:space="preserve"> </w:t>
      </w:r>
    </w:p>
    <w:p w14:paraId="0B6A344B" w14:textId="77777777" w:rsidR="00385301" w:rsidRDefault="00882D31" w:rsidP="00506131">
      <w:pPr>
        <w:pBdr>
          <w:top w:val="nil"/>
          <w:left w:val="nil"/>
          <w:bottom w:val="nil"/>
          <w:right w:val="nil"/>
          <w:between w:val="nil"/>
        </w:pBdr>
        <w:tabs>
          <w:tab w:val="left" w:pos="1179"/>
          <w:tab w:val="left" w:pos="1899"/>
        </w:tabs>
        <w:ind w:left="1179" w:right="649"/>
        <w:rPr>
          <w:rFonts w:ascii="Arial" w:eastAsia="Arial" w:hAnsi="Arial" w:cs="Arial"/>
          <w:color w:val="000000"/>
        </w:rPr>
      </w:pPr>
      <w:r>
        <w:rPr>
          <w:rFonts w:ascii="Arial" w:eastAsia="Arial" w:hAnsi="Arial" w:cs="Arial"/>
          <w:color w:val="000000"/>
          <w:lang w:val="fr-CA"/>
        </w:rPr>
        <w:t xml:space="preserve">William </w:t>
      </w:r>
      <w:proofErr w:type="spellStart"/>
      <w:r>
        <w:rPr>
          <w:rFonts w:ascii="Arial" w:eastAsia="Arial" w:hAnsi="Arial" w:cs="Arial"/>
          <w:color w:val="000000"/>
          <w:lang w:val="fr-CA"/>
        </w:rPr>
        <w:t>MacKay</w:t>
      </w:r>
      <w:proofErr w:type="spellEnd"/>
      <w:r>
        <w:rPr>
          <w:rFonts w:ascii="Arial" w:eastAsia="Arial" w:hAnsi="Arial" w:cs="Arial"/>
          <w:color w:val="000000"/>
          <w:lang w:val="fr-CA"/>
        </w:rPr>
        <w:t xml:space="preserve">, sous-ministre, l’Exécutif et Affaires intergouvernementales </w:t>
      </w:r>
    </w:p>
    <w:p w14:paraId="0464D0D4" w14:textId="77777777" w:rsidR="00385301" w:rsidRDefault="00882D31">
      <w:pPr>
        <w:pBdr>
          <w:top w:val="nil"/>
          <w:left w:val="nil"/>
          <w:bottom w:val="nil"/>
          <w:right w:val="nil"/>
          <w:between w:val="nil"/>
        </w:pBdr>
        <w:ind w:left="720" w:right="-59" w:firstLine="459"/>
        <w:rPr>
          <w:rFonts w:ascii="Arial" w:eastAsia="Arial" w:hAnsi="Arial" w:cs="Arial"/>
          <w:color w:val="000000"/>
        </w:rPr>
      </w:pPr>
      <w:r>
        <w:rPr>
          <w:rFonts w:ascii="Arial" w:eastAsia="Arial" w:hAnsi="Arial" w:cs="Arial"/>
          <w:color w:val="000000"/>
          <w:lang w:val="fr-CA"/>
        </w:rPr>
        <w:t xml:space="preserve">Bruno Pereira, président de la Société d’énergie Qulliq </w:t>
      </w:r>
    </w:p>
    <w:p w14:paraId="2AAC159B" w14:textId="77777777" w:rsidR="00385301" w:rsidRDefault="00882D31">
      <w:pPr>
        <w:pBdr>
          <w:top w:val="nil"/>
          <w:left w:val="nil"/>
          <w:bottom w:val="nil"/>
          <w:right w:val="nil"/>
          <w:between w:val="nil"/>
        </w:pBdr>
        <w:ind w:left="720" w:right="82" w:firstLine="459"/>
        <w:rPr>
          <w:rFonts w:ascii="Arial" w:eastAsia="Arial" w:hAnsi="Arial" w:cs="Arial"/>
          <w:color w:val="000000"/>
        </w:rPr>
      </w:pPr>
      <w:r>
        <w:rPr>
          <w:rFonts w:ascii="Arial" w:eastAsia="Arial" w:hAnsi="Arial" w:cs="Arial"/>
          <w:color w:val="000000"/>
          <w:lang w:val="fr-CA"/>
        </w:rPr>
        <w:t xml:space="preserve">Laurie-Anne White, directrice générale, </w:t>
      </w:r>
      <w:proofErr w:type="spellStart"/>
      <w:r>
        <w:rPr>
          <w:rFonts w:ascii="Arial" w:eastAsia="Arial" w:hAnsi="Arial" w:cs="Arial"/>
          <w:color w:val="000000"/>
          <w:lang w:val="fr-CA"/>
        </w:rPr>
        <w:t>CETES</w:t>
      </w:r>
      <w:proofErr w:type="spellEnd"/>
    </w:p>
    <w:p w14:paraId="26C5A4D1" w14:textId="77777777" w:rsidR="00385301" w:rsidRDefault="00882D31">
      <w:pPr>
        <w:pBdr>
          <w:top w:val="nil"/>
          <w:left w:val="nil"/>
          <w:bottom w:val="nil"/>
          <w:right w:val="nil"/>
          <w:between w:val="nil"/>
        </w:pBdr>
        <w:spacing w:before="1"/>
        <w:jc w:val="center"/>
        <w:rPr>
          <w:rFonts w:ascii="Arial" w:eastAsia="Arial" w:hAnsi="Arial" w:cs="Arial"/>
          <w:color w:val="000000"/>
          <w:sz w:val="24"/>
          <w:szCs w:val="24"/>
        </w:rPr>
      </w:pPr>
      <w:r>
        <w:rPr>
          <w:noProof/>
          <w:lang w:val="fr-CA"/>
        </w:rPr>
        <mc:AlternateContent>
          <mc:Choice Requires="wps">
            <w:drawing>
              <wp:anchor distT="0" distB="0" distL="0" distR="0" simplePos="0" relativeHeight="251654144" behindDoc="0" locked="0" layoutInCell="1" hidden="0" allowOverlap="1" wp14:anchorId="1D851B8B" wp14:editId="167E75EC">
                <wp:simplePos x="0" y="0"/>
                <wp:positionH relativeFrom="column">
                  <wp:posOffset>114300</wp:posOffset>
                </wp:positionH>
                <wp:positionV relativeFrom="paragraph">
                  <wp:posOffset>215900</wp:posOffset>
                </wp:positionV>
                <wp:extent cx="5829300" cy="12700"/>
                <wp:effectExtent l="0" t="0" r="0" b="0"/>
                <wp:wrapTopAndBottom distT="0" distB="0"/>
                <wp:docPr id="10" name="Straight Arrow Connector 10"/>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2700" cap="flat" cmpd="sng">
                          <a:solidFill>
                            <a:srgbClr val="0092D5"/>
                          </a:solidFill>
                          <a:prstDash val="solid"/>
                          <a:round/>
                          <a:headEnd type="none" w="med" len="med"/>
                          <a:tailEnd type="none" w="med" len="med"/>
                        </a:ln>
                      </wps:spPr>
                      <wps:bodyPr/>
                    </wps:wsp>
                  </a:graphicData>
                </a:graphic>
              </wp:anchor>
            </w:drawing>
          </mc:Choice>
          <mc:Fallback>
            <w:pict>
              <v:shapetype w14:anchorId="12CBE117" id="_x0000_t32" coordsize="21600,21600" o:spt="32" o:oned="t" path="m,l21600,21600e" filled="f">
                <v:path arrowok="t" fillok="f" o:connecttype="none"/>
                <o:lock v:ext="edit" shapetype="t"/>
              </v:shapetype>
              <v:shape id="Straight Arrow Connector 10" o:spid="_x0000_s1026" type="#_x0000_t32" style="position:absolute;margin-left:9pt;margin-top:17pt;width:459pt;height:1pt;z-index:2516541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eU6gEAAMUDAAAOAAAAZHJzL2Uyb0RvYy54bWysU9uO0zAQfUfiHyy/06QpZbtV0xVqWV4Q&#10;VFr4gKntJJZ809jbtH/P2CldLi8IkQfH9sycOXNmvHk4W8NOCqP2ruXzWc2ZcsJL7fqWf/v6+GbF&#10;WUzgJBjvVMsvKvKH7etXmzGsVeMHb6RCRiAursfQ8iGlsK6qKAZlIc58UI6MnUcLiY7YVxJhJHRr&#10;qqau31WjRxnQCxUj3e4nI98W/K5TIn3puqgSMy0nbqmsWNZjXqvtBtY9Qhi0uNKAf2BhQTtKeoPa&#10;QwL2jPoPKKsF+ui7NBPeVr7rtFClBqpmXv9WzdMAQZVaSJwYbjLF/wcrPp8OyLSk3pE8Diz16Ckh&#10;6H5I7D2iH9nOO0c6emTkQnqNIa4pbOcOeD3FcMBc/LlDm/9UFju3vHm7mC+WBHtp+eJuVdM36a3O&#10;iQlyWK6a+wVdMkEexVa9gASM6aPyluVNy+OV1I3NvOgNp08xEQ0K/BGQGTj/qI0pzTWOjVRdc1cS&#10;Ac1YZyBRThuo6uj6ghO90TLH5OiI/XFnkJ0gT0193+yXmTjl+MUtJ9xDHCa/YprqQ//sZEk+KJAf&#10;nGTpEkhYR0+AZzZWSc6MoheTd8UzgTZ/40kkjCMuuQuT7nl39PJS2lHuaVYK2+tc52H8+VyiX17f&#10;9jsAAAD//wMAUEsDBBQABgAIAAAAIQAIh6a93AAAAAgBAAAPAAAAZHJzL2Rvd25yZXYueG1sTE9B&#10;bsIwELxX4g/WIvVSgUNTIUjjoKqoPbYiBc4mXpKo9jqKDQRe3+2pPc3Ozmp2Jl8Nzooz9qH1pGA2&#10;TUAgVd60VCvYfr1NFiBC1GS09YQKrhhgVYzucp0Zf6ENnstYCzahkGkFTYxdJmWoGnQ6TH2HxNrR&#10;905Hpn0tTa8vbO6sfEySuXS6Jf7Q6A5fG6y+y5NTUK8/rgm++9nS2l36cNzf1p/lTan78fDyDCLi&#10;EP+O4Tc+R4eCMx38iUwQlvmCq0QF6RMj68t0zsOBF4yyyOX/AsUPAAAA//8DAFBLAQItABQABgAI&#10;AAAAIQC2gziS/gAAAOEBAAATAAAAAAAAAAAAAAAAAAAAAABbQ29udGVudF9UeXBlc10ueG1sUEsB&#10;Ai0AFAAGAAgAAAAhADj9If/WAAAAlAEAAAsAAAAAAAAAAAAAAAAALwEAAF9yZWxzLy5yZWxzUEsB&#10;Ai0AFAAGAAgAAAAhAAOod5TqAQAAxQMAAA4AAAAAAAAAAAAAAAAALgIAAGRycy9lMm9Eb2MueG1s&#10;UEsBAi0AFAAGAAgAAAAhAAiHpr3cAAAACAEAAA8AAAAAAAAAAAAAAAAARAQAAGRycy9kb3ducmV2&#10;LnhtbFBLBQYAAAAABAAEAPMAAABNBQAAAAA=&#10;" strokecolor="#0092d5" strokeweight="1pt">
                <w10:wrap type="topAndBottom"/>
              </v:shape>
            </w:pict>
          </mc:Fallback>
        </mc:AlternateContent>
      </w:r>
    </w:p>
    <w:p w14:paraId="0750A0AC" w14:textId="77777777" w:rsidR="00385301" w:rsidRDefault="00385301">
      <w:pPr>
        <w:jc w:val="center"/>
      </w:pPr>
    </w:p>
    <w:p w14:paraId="3B30A98C" w14:textId="77777777" w:rsidR="00385301" w:rsidRDefault="00385301">
      <w:pPr>
        <w:jc w:val="center"/>
      </w:pPr>
    </w:p>
    <w:p w14:paraId="54E52923" w14:textId="77777777" w:rsidR="00385301" w:rsidRDefault="00882D31">
      <w:pPr>
        <w:jc w:val="center"/>
        <w:rPr>
          <w:color w:val="0070C0"/>
        </w:rPr>
      </w:pPr>
      <w:proofErr w:type="spellStart"/>
      <w:r>
        <w:rPr>
          <w:color w:val="0070C0"/>
          <w:lang w:val="fr-CA"/>
        </w:rPr>
        <w:t>C.P</w:t>
      </w:r>
      <w:proofErr w:type="spellEnd"/>
      <w:r>
        <w:rPr>
          <w:color w:val="0070C0"/>
          <w:lang w:val="fr-CA"/>
        </w:rPr>
        <w:t xml:space="preserve">. 1000, </w:t>
      </w:r>
      <w:proofErr w:type="spellStart"/>
      <w:r>
        <w:rPr>
          <w:color w:val="0070C0"/>
          <w:lang w:val="fr-CA"/>
        </w:rPr>
        <w:t>SUCC</w:t>
      </w:r>
      <w:proofErr w:type="spellEnd"/>
      <w:r>
        <w:rPr>
          <w:color w:val="0070C0"/>
          <w:lang w:val="fr-CA"/>
        </w:rPr>
        <w:t xml:space="preserve"> 200, IQALUIT (NU) X0A 0H0, </w:t>
      </w:r>
      <w:hyperlink r:id="rId11">
        <w:r>
          <w:rPr>
            <w:color w:val="0070C0"/>
            <w:lang w:val="fr-CA"/>
          </w:rPr>
          <w:t>URRC@GOV.NU.CA</w:t>
        </w:r>
      </w:hyperlink>
      <w:r>
        <w:rPr>
          <w:color w:val="0070C0"/>
          <w:lang w:val="fr-CA"/>
        </w:rPr>
        <w:t xml:space="preserve"> www.URRC.gov.nu.ca</w:t>
      </w:r>
    </w:p>
    <w:p w14:paraId="76681647" w14:textId="77777777" w:rsidR="00385301" w:rsidRDefault="00385301">
      <w:pPr>
        <w:pBdr>
          <w:top w:val="nil"/>
          <w:left w:val="nil"/>
          <w:bottom w:val="nil"/>
          <w:right w:val="nil"/>
          <w:between w:val="nil"/>
        </w:pBdr>
        <w:ind w:left="720" w:right="82" w:firstLine="459"/>
        <w:rPr>
          <w:rFonts w:ascii="Arial" w:eastAsia="Arial" w:hAnsi="Arial" w:cs="Arial"/>
          <w:color w:val="000000"/>
        </w:rPr>
      </w:pPr>
    </w:p>
    <w:p w14:paraId="122B9795" w14:textId="77777777" w:rsidR="00385301" w:rsidRDefault="00385301">
      <w:pPr>
        <w:pBdr>
          <w:top w:val="nil"/>
          <w:left w:val="nil"/>
          <w:bottom w:val="nil"/>
          <w:right w:val="nil"/>
          <w:between w:val="nil"/>
        </w:pBdr>
        <w:rPr>
          <w:rFonts w:ascii="Arial" w:eastAsia="Arial" w:hAnsi="Arial" w:cs="Arial"/>
          <w:color w:val="000000"/>
          <w:sz w:val="20"/>
          <w:szCs w:val="20"/>
        </w:rPr>
      </w:pPr>
    </w:p>
    <w:p w14:paraId="2D62F749" w14:textId="77777777" w:rsidR="00385301" w:rsidRDefault="00385301">
      <w:pPr>
        <w:pBdr>
          <w:top w:val="nil"/>
          <w:left w:val="nil"/>
          <w:bottom w:val="nil"/>
          <w:right w:val="nil"/>
          <w:between w:val="nil"/>
        </w:pBdr>
        <w:spacing w:before="9"/>
        <w:rPr>
          <w:b/>
          <w:color w:val="000000"/>
          <w:sz w:val="9"/>
          <w:szCs w:val="9"/>
        </w:rPr>
      </w:pPr>
    </w:p>
    <w:p w14:paraId="48B58249" w14:textId="77777777" w:rsidR="00385301" w:rsidRDefault="00882D31">
      <w:pPr>
        <w:pBdr>
          <w:top w:val="nil"/>
          <w:left w:val="nil"/>
          <w:bottom w:val="nil"/>
          <w:right w:val="nil"/>
          <w:between w:val="nil"/>
        </w:pBdr>
        <w:ind w:left="213"/>
        <w:rPr>
          <w:color w:val="000000"/>
          <w:sz w:val="20"/>
          <w:szCs w:val="20"/>
        </w:rPr>
      </w:pPr>
      <w:r>
        <w:rPr>
          <w:noProof/>
          <w:color w:val="000000"/>
          <w:sz w:val="20"/>
          <w:szCs w:val="20"/>
          <w:lang w:val="fr-CA"/>
        </w:rPr>
        <w:lastRenderedPageBreak/>
        <w:drawing>
          <wp:inline distT="0" distB="0" distL="0" distR="0" wp14:anchorId="0C7E8AB9" wp14:editId="6D9C8038">
            <wp:extent cx="5664290" cy="2029968"/>
            <wp:effectExtent l="0" t="0" r="0" b="0"/>
            <wp:docPr id="14" name="image3.jpg" descr="URCCLogo"/>
            <wp:cNvGraphicFramePr/>
            <a:graphic xmlns:a="http://schemas.openxmlformats.org/drawingml/2006/main">
              <a:graphicData uri="http://schemas.openxmlformats.org/drawingml/2006/picture">
                <pic:pic xmlns:pic="http://schemas.openxmlformats.org/drawingml/2006/picture">
                  <pic:nvPicPr>
                    <pic:cNvPr id="0" name="image3.jpg" descr="URCCLogo"/>
                    <pic:cNvPicPr preferRelativeResize="0"/>
                  </pic:nvPicPr>
                  <pic:blipFill>
                    <a:blip r:embed="rId12"/>
                    <a:srcRect/>
                    <a:stretch>
                      <a:fillRect/>
                    </a:stretch>
                  </pic:blipFill>
                  <pic:spPr>
                    <a:xfrm>
                      <a:off x="0" y="0"/>
                      <a:ext cx="5664290" cy="2029968"/>
                    </a:xfrm>
                    <a:prstGeom prst="rect">
                      <a:avLst/>
                    </a:prstGeom>
                    <a:ln/>
                  </pic:spPr>
                </pic:pic>
              </a:graphicData>
            </a:graphic>
          </wp:inline>
        </w:drawing>
      </w:r>
    </w:p>
    <w:p w14:paraId="76541165" w14:textId="77777777" w:rsidR="00385301" w:rsidRDefault="00385301">
      <w:pPr>
        <w:pBdr>
          <w:top w:val="nil"/>
          <w:left w:val="nil"/>
          <w:bottom w:val="nil"/>
          <w:right w:val="nil"/>
          <w:between w:val="nil"/>
        </w:pBdr>
        <w:spacing w:before="1"/>
        <w:rPr>
          <w:b/>
          <w:color w:val="000000"/>
          <w:sz w:val="12"/>
          <w:szCs w:val="12"/>
        </w:rPr>
      </w:pPr>
    </w:p>
    <w:p w14:paraId="122C3898" w14:textId="77777777" w:rsidR="00385301" w:rsidRDefault="00882D31">
      <w:pPr>
        <w:spacing w:before="89"/>
        <w:ind w:left="313"/>
        <w:rPr>
          <w:b/>
          <w:sz w:val="28"/>
          <w:szCs w:val="28"/>
        </w:rPr>
      </w:pPr>
      <w:bookmarkStart w:id="1" w:name="bookmark=id.30j0zll" w:colFirst="0" w:colLast="0"/>
      <w:bookmarkEnd w:id="1"/>
      <w:r>
        <w:rPr>
          <w:b/>
          <w:bCs/>
          <w:sz w:val="28"/>
          <w:szCs w:val="28"/>
          <w:lang w:val="fr-CA"/>
        </w:rPr>
        <w:t>Rapport à la ministre responsable de la Société d’énergie Qulliq à propos de la :</w:t>
      </w:r>
    </w:p>
    <w:p w14:paraId="4583DE15" w14:textId="77777777" w:rsidR="00385301" w:rsidRDefault="00385301">
      <w:pPr>
        <w:pBdr>
          <w:top w:val="nil"/>
          <w:left w:val="nil"/>
          <w:bottom w:val="nil"/>
          <w:right w:val="nil"/>
          <w:between w:val="nil"/>
        </w:pBdr>
        <w:spacing w:before="10"/>
        <w:rPr>
          <w:b/>
          <w:color w:val="000000"/>
          <w:sz w:val="27"/>
          <w:szCs w:val="27"/>
        </w:rPr>
      </w:pPr>
    </w:p>
    <w:p w14:paraId="6EEBB4AD" w14:textId="77777777" w:rsidR="00385301" w:rsidRDefault="00882D31">
      <w:pPr>
        <w:ind w:left="231" w:right="252"/>
        <w:jc w:val="center"/>
        <w:rPr>
          <w:b/>
          <w:sz w:val="28"/>
          <w:szCs w:val="28"/>
        </w:rPr>
      </w:pPr>
      <w:r>
        <w:rPr>
          <w:b/>
          <w:bCs/>
          <w:sz w:val="28"/>
          <w:szCs w:val="28"/>
          <w:lang w:val="fr-CA"/>
        </w:rPr>
        <w:t xml:space="preserve">Demande de permis de projet d’immobilisations majeur concernant la construction d’une nouvelle centrale électrique à </w:t>
      </w:r>
      <w:proofErr w:type="spellStart"/>
      <w:r>
        <w:rPr>
          <w:b/>
          <w:bCs/>
          <w:sz w:val="28"/>
          <w:szCs w:val="28"/>
          <w:lang w:val="fr-CA"/>
        </w:rPr>
        <w:t>Arctic</w:t>
      </w:r>
      <w:proofErr w:type="spellEnd"/>
      <w:r>
        <w:rPr>
          <w:b/>
          <w:bCs/>
          <w:sz w:val="28"/>
          <w:szCs w:val="28"/>
          <w:lang w:val="fr-CA"/>
        </w:rPr>
        <w:t xml:space="preserve"> Bay</w:t>
      </w:r>
    </w:p>
    <w:p w14:paraId="637F4403" w14:textId="77777777" w:rsidR="00385301" w:rsidRDefault="00385301">
      <w:pPr>
        <w:pBdr>
          <w:top w:val="nil"/>
          <w:left w:val="nil"/>
          <w:bottom w:val="nil"/>
          <w:right w:val="nil"/>
          <w:between w:val="nil"/>
        </w:pBdr>
        <w:rPr>
          <w:b/>
          <w:color w:val="000000"/>
          <w:sz w:val="30"/>
          <w:szCs w:val="30"/>
        </w:rPr>
      </w:pPr>
    </w:p>
    <w:p w14:paraId="246107F9" w14:textId="77777777" w:rsidR="00385301" w:rsidRDefault="00385301">
      <w:pPr>
        <w:pBdr>
          <w:top w:val="nil"/>
          <w:left w:val="nil"/>
          <w:bottom w:val="nil"/>
          <w:right w:val="nil"/>
          <w:between w:val="nil"/>
        </w:pBdr>
        <w:spacing w:before="2"/>
        <w:rPr>
          <w:b/>
          <w:color w:val="000000"/>
          <w:sz w:val="26"/>
          <w:szCs w:val="26"/>
        </w:rPr>
      </w:pPr>
    </w:p>
    <w:p w14:paraId="397BAFFA" w14:textId="77777777" w:rsidR="00385301" w:rsidRDefault="00882D31">
      <w:pPr>
        <w:ind w:left="231" w:right="248"/>
        <w:jc w:val="center"/>
        <w:rPr>
          <w:b/>
          <w:sz w:val="32"/>
          <w:szCs w:val="32"/>
        </w:rPr>
      </w:pPr>
      <w:r>
        <w:rPr>
          <w:b/>
          <w:bCs/>
          <w:sz w:val="32"/>
          <w:szCs w:val="32"/>
          <w:lang w:val="fr-CA"/>
        </w:rPr>
        <w:t>Rapport 2020-01</w:t>
      </w:r>
    </w:p>
    <w:p w14:paraId="591ADF76" w14:textId="77777777" w:rsidR="00385301" w:rsidRDefault="00385301">
      <w:pPr>
        <w:pBdr>
          <w:top w:val="nil"/>
          <w:left w:val="nil"/>
          <w:bottom w:val="nil"/>
          <w:right w:val="nil"/>
          <w:between w:val="nil"/>
        </w:pBdr>
        <w:rPr>
          <w:b/>
          <w:color w:val="000000"/>
          <w:sz w:val="34"/>
          <w:szCs w:val="34"/>
        </w:rPr>
      </w:pPr>
    </w:p>
    <w:p w14:paraId="76FBA34E" w14:textId="77777777" w:rsidR="00385301" w:rsidRDefault="00385301">
      <w:pPr>
        <w:pBdr>
          <w:top w:val="nil"/>
          <w:left w:val="nil"/>
          <w:bottom w:val="nil"/>
          <w:right w:val="nil"/>
          <w:between w:val="nil"/>
        </w:pBdr>
        <w:rPr>
          <w:b/>
          <w:color w:val="000000"/>
          <w:sz w:val="34"/>
          <w:szCs w:val="34"/>
        </w:rPr>
      </w:pPr>
    </w:p>
    <w:p w14:paraId="2EB4E7B1" w14:textId="77777777" w:rsidR="00385301" w:rsidRDefault="00385301">
      <w:pPr>
        <w:pBdr>
          <w:top w:val="nil"/>
          <w:left w:val="nil"/>
          <w:bottom w:val="nil"/>
          <w:right w:val="nil"/>
          <w:between w:val="nil"/>
        </w:pBdr>
        <w:rPr>
          <w:b/>
          <w:color w:val="000000"/>
          <w:sz w:val="34"/>
          <w:szCs w:val="34"/>
        </w:rPr>
      </w:pPr>
    </w:p>
    <w:p w14:paraId="6D292A9E" w14:textId="77777777" w:rsidR="00385301" w:rsidRDefault="00385301">
      <w:pPr>
        <w:pBdr>
          <w:top w:val="nil"/>
          <w:left w:val="nil"/>
          <w:bottom w:val="nil"/>
          <w:right w:val="nil"/>
          <w:between w:val="nil"/>
        </w:pBdr>
        <w:rPr>
          <w:b/>
          <w:color w:val="000000"/>
          <w:sz w:val="34"/>
          <w:szCs w:val="34"/>
        </w:rPr>
      </w:pPr>
    </w:p>
    <w:p w14:paraId="5F54EDE0" w14:textId="77777777" w:rsidR="00385301" w:rsidRDefault="00385301">
      <w:pPr>
        <w:pBdr>
          <w:top w:val="nil"/>
          <w:left w:val="nil"/>
          <w:bottom w:val="nil"/>
          <w:right w:val="nil"/>
          <w:between w:val="nil"/>
        </w:pBdr>
        <w:rPr>
          <w:b/>
          <w:color w:val="000000"/>
          <w:sz w:val="34"/>
          <w:szCs w:val="34"/>
        </w:rPr>
      </w:pPr>
    </w:p>
    <w:p w14:paraId="58369B97" w14:textId="77777777" w:rsidR="00385301" w:rsidRDefault="00385301">
      <w:pPr>
        <w:pBdr>
          <w:top w:val="nil"/>
          <w:left w:val="nil"/>
          <w:bottom w:val="nil"/>
          <w:right w:val="nil"/>
          <w:between w:val="nil"/>
        </w:pBdr>
        <w:rPr>
          <w:b/>
          <w:color w:val="000000"/>
          <w:sz w:val="34"/>
          <w:szCs w:val="34"/>
        </w:rPr>
      </w:pPr>
    </w:p>
    <w:p w14:paraId="41FBDB4E" w14:textId="77777777" w:rsidR="00385301" w:rsidRDefault="00385301">
      <w:pPr>
        <w:pBdr>
          <w:top w:val="nil"/>
          <w:left w:val="nil"/>
          <w:bottom w:val="nil"/>
          <w:right w:val="nil"/>
          <w:between w:val="nil"/>
        </w:pBdr>
        <w:rPr>
          <w:b/>
          <w:color w:val="000000"/>
          <w:sz w:val="34"/>
          <w:szCs w:val="34"/>
        </w:rPr>
      </w:pPr>
    </w:p>
    <w:p w14:paraId="761904F1" w14:textId="77777777" w:rsidR="00385301" w:rsidRDefault="00385301">
      <w:pPr>
        <w:pBdr>
          <w:top w:val="nil"/>
          <w:left w:val="nil"/>
          <w:bottom w:val="nil"/>
          <w:right w:val="nil"/>
          <w:between w:val="nil"/>
        </w:pBdr>
        <w:rPr>
          <w:b/>
          <w:color w:val="000000"/>
          <w:sz w:val="34"/>
          <w:szCs w:val="34"/>
        </w:rPr>
      </w:pPr>
    </w:p>
    <w:p w14:paraId="38DF87F0" w14:textId="77777777" w:rsidR="00385301" w:rsidRDefault="00385301">
      <w:pPr>
        <w:pBdr>
          <w:top w:val="nil"/>
          <w:left w:val="nil"/>
          <w:bottom w:val="nil"/>
          <w:right w:val="nil"/>
          <w:between w:val="nil"/>
        </w:pBdr>
        <w:rPr>
          <w:b/>
          <w:color w:val="000000"/>
          <w:sz w:val="34"/>
          <w:szCs w:val="34"/>
        </w:rPr>
      </w:pPr>
    </w:p>
    <w:p w14:paraId="726EDBB9" w14:textId="77777777" w:rsidR="00385301" w:rsidRDefault="00B03F1C">
      <w:pPr>
        <w:spacing w:before="204"/>
        <w:ind w:left="231" w:right="248"/>
        <w:jc w:val="center"/>
        <w:rPr>
          <w:b/>
          <w:sz w:val="28"/>
          <w:szCs w:val="28"/>
        </w:rPr>
      </w:pPr>
      <w:r>
        <w:rPr>
          <w:b/>
          <w:bCs/>
          <w:sz w:val="28"/>
          <w:szCs w:val="28"/>
          <w:lang w:val="fr-CA"/>
        </w:rPr>
        <w:t>Le 5 février 2020</w:t>
      </w:r>
    </w:p>
    <w:p w14:paraId="21F04ABC" w14:textId="77777777" w:rsidR="00385301" w:rsidRDefault="00385301">
      <w:pPr>
        <w:pBdr>
          <w:top w:val="nil"/>
          <w:left w:val="nil"/>
          <w:bottom w:val="nil"/>
          <w:right w:val="nil"/>
          <w:between w:val="nil"/>
        </w:pBdr>
        <w:rPr>
          <w:b/>
          <w:color w:val="000000"/>
          <w:sz w:val="30"/>
          <w:szCs w:val="30"/>
        </w:rPr>
      </w:pPr>
    </w:p>
    <w:p w14:paraId="1A6FD1F6" w14:textId="77777777" w:rsidR="00385301" w:rsidRDefault="00385301">
      <w:pPr>
        <w:pBdr>
          <w:top w:val="nil"/>
          <w:left w:val="nil"/>
          <w:bottom w:val="nil"/>
          <w:right w:val="nil"/>
          <w:between w:val="nil"/>
        </w:pBdr>
        <w:rPr>
          <w:b/>
          <w:color w:val="000000"/>
          <w:sz w:val="30"/>
          <w:szCs w:val="30"/>
        </w:rPr>
      </w:pPr>
    </w:p>
    <w:p w14:paraId="4ED67EAB" w14:textId="77777777" w:rsidR="00385301" w:rsidRDefault="00385301">
      <w:pPr>
        <w:pBdr>
          <w:top w:val="nil"/>
          <w:left w:val="nil"/>
          <w:bottom w:val="nil"/>
          <w:right w:val="nil"/>
          <w:between w:val="nil"/>
        </w:pBdr>
        <w:rPr>
          <w:b/>
          <w:color w:val="000000"/>
          <w:sz w:val="30"/>
          <w:szCs w:val="30"/>
        </w:rPr>
      </w:pPr>
    </w:p>
    <w:p w14:paraId="15C637B9" w14:textId="77777777" w:rsidR="00385301" w:rsidRDefault="00385301">
      <w:pPr>
        <w:pBdr>
          <w:top w:val="nil"/>
          <w:left w:val="nil"/>
          <w:bottom w:val="nil"/>
          <w:right w:val="nil"/>
          <w:between w:val="nil"/>
        </w:pBdr>
        <w:rPr>
          <w:b/>
          <w:color w:val="000000"/>
          <w:sz w:val="30"/>
          <w:szCs w:val="30"/>
        </w:rPr>
      </w:pPr>
    </w:p>
    <w:p w14:paraId="70546043" w14:textId="77777777" w:rsidR="000C5C15" w:rsidRDefault="000C5C15">
      <w:pPr>
        <w:pStyle w:val="Heading1"/>
        <w:spacing w:before="230"/>
        <w:ind w:left="231" w:right="249"/>
        <w:jc w:val="center"/>
      </w:pPr>
      <w:r>
        <w:rPr>
          <w:lang w:val="fr-CA"/>
        </w:rPr>
        <w:br w:type="page"/>
      </w:r>
    </w:p>
    <w:p w14:paraId="6FFDE30C" w14:textId="2BF4E898" w:rsidR="00385301" w:rsidRDefault="00882D31" w:rsidP="006A12F4">
      <w:pPr>
        <w:pStyle w:val="Heading1"/>
        <w:spacing w:before="230"/>
        <w:ind w:left="0" w:right="40"/>
        <w:jc w:val="center"/>
        <w:sectPr w:rsidR="00385301" w:rsidSect="00C517C8">
          <w:headerReference w:type="even" r:id="rId13"/>
          <w:headerReference w:type="default" r:id="rId14"/>
          <w:headerReference w:type="first" r:id="rId15"/>
          <w:pgSz w:w="12240" w:h="15840"/>
          <w:pgMar w:top="1500" w:right="1320" w:bottom="280" w:left="1340" w:header="720" w:footer="720" w:gutter="0"/>
          <w:pgNumType w:start="1"/>
          <w:cols w:space="720" w:equalWidth="0">
            <w:col w:w="9360"/>
          </w:cols>
          <w:titlePg/>
          <w:docGrid w:linePitch="299"/>
        </w:sectPr>
      </w:pPr>
      <w:r>
        <w:rPr>
          <w:lang w:val="fr-CA"/>
        </w:rPr>
        <w:lastRenderedPageBreak/>
        <w:t>CONSEIL D’EXAMEN DES TAUX DES ENTREPRISES DE SERVICE</w:t>
      </w:r>
      <w:r w:rsidR="00954B7B">
        <w:rPr>
          <w:lang w:val="fr-CA"/>
        </w:rPr>
        <w:t>S</w:t>
      </w:r>
      <w:r>
        <w:rPr>
          <w:lang w:val="fr-CA"/>
        </w:rPr>
        <w:t xml:space="preserve"> DU NUNAVUT</w:t>
      </w:r>
    </w:p>
    <w:p w14:paraId="79FC352C" w14:textId="77777777" w:rsidR="000C5C15" w:rsidRDefault="000C5C15">
      <w:pPr>
        <w:spacing w:before="90"/>
        <w:ind w:left="100"/>
        <w:rPr>
          <w:b/>
          <w:sz w:val="24"/>
          <w:szCs w:val="24"/>
          <w:u w:val="single"/>
        </w:rPr>
      </w:pPr>
    </w:p>
    <w:p w14:paraId="5B90D5E3" w14:textId="77777777" w:rsidR="000C5C15" w:rsidRDefault="000C5C15">
      <w:pPr>
        <w:spacing w:before="90"/>
        <w:ind w:left="100"/>
        <w:rPr>
          <w:b/>
          <w:sz w:val="24"/>
          <w:szCs w:val="24"/>
          <w:u w:val="single"/>
        </w:rPr>
      </w:pPr>
    </w:p>
    <w:p w14:paraId="5E6A5DE0" w14:textId="77777777" w:rsidR="000C5C15" w:rsidRDefault="000C5C15">
      <w:pPr>
        <w:spacing w:before="90"/>
        <w:ind w:left="100"/>
        <w:rPr>
          <w:b/>
          <w:sz w:val="24"/>
          <w:szCs w:val="24"/>
          <w:u w:val="single"/>
        </w:rPr>
      </w:pPr>
    </w:p>
    <w:p w14:paraId="31A0303E" w14:textId="77777777" w:rsidR="00385301" w:rsidRDefault="00882D31">
      <w:pPr>
        <w:spacing w:before="90"/>
        <w:ind w:left="100"/>
        <w:rPr>
          <w:b/>
          <w:sz w:val="24"/>
          <w:szCs w:val="24"/>
        </w:rPr>
      </w:pPr>
      <w:r>
        <w:rPr>
          <w:b/>
          <w:bCs/>
          <w:sz w:val="24"/>
          <w:szCs w:val="24"/>
          <w:u w:val="single"/>
          <w:lang w:val="fr-CA"/>
        </w:rPr>
        <w:t>MEMBRES</w:t>
      </w:r>
    </w:p>
    <w:p w14:paraId="69679A81" w14:textId="77777777" w:rsidR="00385301" w:rsidRDefault="00882D31">
      <w:pPr>
        <w:pBdr>
          <w:top w:val="nil"/>
          <w:left w:val="nil"/>
          <w:bottom w:val="nil"/>
          <w:right w:val="nil"/>
          <w:between w:val="nil"/>
        </w:pBdr>
        <w:rPr>
          <w:b/>
          <w:color w:val="000000"/>
          <w:sz w:val="26"/>
          <w:szCs w:val="26"/>
        </w:rPr>
      </w:pPr>
      <w:r>
        <w:rPr>
          <w:lang w:val="fr-CA"/>
        </w:rPr>
        <w:br w:type="column"/>
      </w:r>
    </w:p>
    <w:p w14:paraId="469F3ADA" w14:textId="77777777" w:rsidR="000C5C15" w:rsidRDefault="000C5C15">
      <w:pPr>
        <w:pBdr>
          <w:top w:val="nil"/>
          <w:left w:val="nil"/>
          <w:bottom w:val="nil"/>
          <w:right w:val="nil"/>
          <w:between w:val="nil"/>
        </w:pBdr>
        <w:tabs>
          <w:tab w:val="left" w:pos="2979"/>
        </w:tabs>
        <w:spacing w:before="199"/>
        <w:ind w:left="100"/>
        <w:rPr>
          <w:color w:val="000000"/>
          <w:sz w:val="24"/>
          <w:szCs w:val="24"/>
        </w:rPr>
      </w:pPr>
    </w:p>
    <w:p w14:paraId="65A19DED" w14:textId="77777777" w:rsidR="000C5C15" w:rsidRDefault="000C5C15">
      <w:pPr>
        <w:pBdr>
          <w:top w:val="nil"/>
          <w:left w:val="nil"/>
          <w:bottom w:val="nil"/>
          <w:right w:val="nil"/>
          <w:between w:val="nil"/>
        </w:pBdr>
        <w:tabs>
          <w:tab w:val="left" w:pos="2979"/>
        </w:tabs>
        <w:spacing w:before="199"/>
        <w:ind w:left="100"/>
        <w:rPr>
          <w:color w:val="000000"/>
          <w:sz w:val="24"/>
          <w:szCs w:val="24"/>
        </w:rPr>
      </w:pPr>
    </w:p>
    <w:p w14:paraId="04347A0C" w14:textId="77777777" w:rsidR="00385301" w:rsidRDefault="00882D31" w:rsidP="000C5C15">
      <w:pPr>
        <w:pBdr>
          <w:top w:val="nil"/>
          <w:left w:val="nil"/>
          <w:bottom w:val="nil"/>
          <w:right w:val="nil"/>
          <w:between w:val="nil"/>
        </w:pBdr>
        <w:tabs>
          <w:tab w:val="left" w:pos="2979"/>
          <w:tab w:val="left" w:pos="4678"/>
        </w:tabs>
        <w:spacing w:before="199"/>
        <w:rPr>
          <w:color w:val="000000"/>
          <w:sz w:val="24"/>
          <w:szCs w:val="24"/>
        </w:rPr>
      </w:pPr>
      <w:r>
        <w:rPr>
          <w:color w:val="000000"/>
          <w:sz w:val="24"/>
          <w:szCs w:val="24"/>
          <w:lang w:val="fr-CA"/>
        </w:rPr>
        <w:t>Anthony Rose</w:t>
      </w:r>
      <w:r>
        <w:rPr>
          <w:color w:val="000000"/>
          <w:sz w:val="24"/>
          <w:szCs w:val="24"/>
          <w:lang w:val="fr-CA"/>
        </w:rPr>
        <w:tab/>
        <w:t>Président</w:t>
      </w:r>
    </w:p>
    <w:p w14:paraId="6C3AD5E1" w14:textId="77777777" w:rsidR="00385301" w:rsidRDefault="00882D31" w:rsidP="000C5C15">
      <w:pPr>
        <w:pBdr>
          <w:top w:val="nil"/>
          <w:left w:val="nil"/>
          <w:bottom w:val="nil"/>
          <w:right w:val="nil"/>
          <w:between w:val="nil"/>
        </w:pBdr>
        <w:tabs>
          <w:tab w:val="left" w:pos="2979"/>
          <w:tab w:val="left" w:pos="4678"/>
        </w:tabs>
        <w:spacing w:before="139"/>
        <w:rPr>
          <w:color w:val="000000"/>
          <w:sz w:val="24"/>
          <w:szCs w:val="24"/>
        </w:rPr>
      </w:pPr>
      <w:r>
        <w:rPr>
          <w:color w:val="000000"/>
          <w:sz w:val="24"/>
          <w:szCs w:val="24"/>
          <w:lang w:val="fr-CA"/>
        </w:rPr>
        <w:t>Graham Lock</w:t>
      </w:r>
      <w:r>
        <w:rPr>
          <w:color w:val="000000"/>
          <w:sz w:val="24"/>
          <w:szCs w:val="24"/>
          <w:lang w:val="fr-CA"/>
        </w:rPr>
        <w:tab/>
        <w:t>Vice-président</w:t>
      </w:r>
    </w:p>
    <w:p w14:paraId="282C096F" w14:textId="77777777" w:rsidR="00385301" w:rsidRDefault="00882D31" w:rsidP="000C5C15">
      <w:pPr>
        <w:pBdr>
          <w:top w:val="nil"/>
          <w:left w:val="nil"/>
          <w:bottom w:val="nil"/>
          <w:right w:val="nil"/>
          <w:between w:val="nil"/>
        </w:pBdr>
        <w:tabs>
          <w:tab w:val="left" w:pos="2979"/>
          <w:tab w:val="left" w:pos="4678"/>
        </w:tabs>
        <w:spacing w:before="139"/>
        <w:rPr>
          <w:color w:val="000000"/>
          <w:sz w:val="24"/>
          <w:szCs w:val="24"/>
        </w:rPr>
      </w:pPr>
      <w:proofErr w:type="spellStart"/>
      <w:r>
        <w:rPr>
          <w:color w:val="000000"/>
          <w:sz w:val="24"/>
          <w:szCs w:val="24"/>
          <w:lang w:val="fr-CA"/>
        </w:rPr>
        <w:t>Robbin</w:t>
      </w:r>
      <w:proofErr w:type="spellEnd"/>
      <w:r>
        <w:rPr>
          <w:color w:val="000000"/>
          <w:sz w:val="24"/>
          <w:szCs w:val="24"/>
          <w:lang w:val="fr-CA"/>
        </w:rPr>
        <w:t xml:space="preserve"> </w:t>
      </w:r>
      <w:proofErr w:type="spellStart"/>
      <w:r>
        <w:rPr>
          <w:color w:val="000000"/>
          <w:sz w:val="24"/>
          <w:szCs w:val="24"/>
          <w:lang w:val="fr-CA"/>
        </w:rPr>
        <w:t>Sinclaire</w:t>
      </w:r>
      <w:proofErr w:type="spellEnd"/>
      <w:r>
        <w:rPr>
          <w:color w:val="000000"/>
          <w:sz w:val="24"/>
          <w:szCs w:val="24"/>
          <w:lang w:val="fr-CA"/>
        </w:rPr>
        <w:tab/>
        <w:t>Membre</w:t>
      </w:r>
    </w:p>
    <w:p w14:paraId="3C72A1FE" w14:textId="77777777" w:rsidR="00385301" w:rsidRDefault="00882D31" w:rsidP="000C5C15">
      <w:pPr>
        <w:pBdr>
          <w:top w:val="nil"/>
          <w:left w:val="nil"/>
          <w:bottom w:val="nil"/>
          <w:right w:val="nil"/>
          <w:between w:val="nil"/>
        </w:pBdr>
        <w:tabs>
          <w:tab w:val="left" w:pos="2979"/>
          <w:tab w:val="left" w:pos="4678"/>
        </w:tabs>
        <w:spacing w:before="137"/>
        <w:rPr>
          <w:color w:val="000000"/>
          <w:sz w:val="24"/>
          <w:szCs w:val="24"/>
        </w:rPr>
      </w:pPr>
      <w:r>
        <w:rPr>
          <w:color w:val="000000"/>
          <w:sz w:val="24"/>
          <w:szCs w:val="24"/>
          <w:lang w:val="fr-CA"/>
        </w:rPr>
        <w:t xml:space="preserve">Nadia </w:t>
      </w:r>
      <w:proofErr w:type="spellStart"/>
      <w:r>
        <w:rPr>
          <w:color w:val="000000"/>
          <w:sz w:val="24"/>
          <w:szCs w:val="24"/>
          <w:lang w:val="fr-CA"/>
        </w:rPr>
        <w:t>Ciccone</w:t>
      </w:r>
      <w:proofErr w:type="spellEnd"/>
      <w:r>
        <w:rPr>
          <w:color w:val="000000"/>
          <w:sz w:val="24"/>
          <w:szCs w:val="24"/>
          <w:lang w:val="fr-CA"/>
        </w:rPr>
        <w:tab/>
        <w:t>Membre</w:t>
      </w:r>
    </w:p>
    <w:p w14:paraId="14BD6FBB" w14:textId="77777777" w:rsidR="00385301" w:rsidRDefault="00385301" w:rsidP="000C5C15">
      <w:pPr>
        <w:tabs>
          <w:tab w:val="left" w:pos="4678"/>
        </w:tabs>
        <w:sectPr w:rsidR="00385301" w:rsidSect="000C5C15">
          <w:headerReference w:type="even" r:id="rId16"/>
          <w:headerReference w:type="default" r:id="rId17"/>
          <w:headerReference w:type="first" r:id="rId18"/>
          <w:type w:val="continuous"/>
          <w:pgSz w:w="12240" w:h="15840"/>
          <w:pgMar w:top="700" w:right="1320" w:bottom="280" w:left="1340" w:header="720" w:footer="720" w:gutter="0"/>
          <w:cols w:num="2" w:space="720" w:equalWidth="0">
            <w:col w:w="3013" w:space="1500"/>
            <w:col w:w="5067" w:space="0"/>
          </w:cols>
        </w:sectPr>
      </w:pPr>
    </w:p>
    <w:p w14:paraId="42742656" w14:textId="77777777" w:rsidR="00385301" w:rsidRDefault="00385301" w:rsidP="000C5C15">
      <w:pPr>
        <w:pBdr>
          <w:top w:val="nil"/>
          <w:left w:val="nil"/>
          <w:bottom w:val="nil"/>
          <w:right w:val="nil"/>
          <w:between w:val="nil"/>
        </w:pBdr>
        <w:tabs>
          <w:tab w:val="left" w:pos="4678"/>
        </w:tabs>
        <w:rPr>
          <w:color w:val="000000"/>
          <w:sz w:val="20"/>
          <w:szCs w:val="20"/>
        </w:rPr>
      </w:pPr>
    </w:p>
    <w:p w14:paraId="7CEF7D11" w14:textId="77777777" w:rsidR="00385301" w:rsidRDefault="00385301">
      <w:pPr>
        <w:pBdr>
          <w:top w:val="nil"/>
          <w:left w:val="nil"/>
          <w:bottom w:val="nil"/>
          <w:right w:val="nil"/>
          <w:between w:val="nil"/>
        </w:pBdr>
        <w:rPr>
          <w:color w:val="000000"/>
          <w:sz w:val="20"/>
          <w:szCs w:val="20"/>
        </w:rPr>
      </w:pPr>
    </w:p>
    <w:p w14:paraId="0A9DEE7D" w14:textId="77777777" w:rsidR="00385301" w:rsidRDefault="00385301">
      <w:pPr>
        <w:pBdr>
          <w:top w:val="nil"/>
          <w:left w:val="nil"/>
          <w:bottom w:val="nil"/>
          <w:right w:val="nil"/>
          <w:between w:val="nil"/>
        </w:pBdr>
        <w:rPr>
          <w:color w:val="000000"/>
          <w:sz w:val="20"/>
          <w:szCs w:val="20"/>
        </w:rPr>
      </w:pPr>
    </w:p>
    <w:p w14:paraId="67D2E7E2" w14:textId="77777777" w:rsidR="00385301" w:rsidRDefault="00385301">
      <w:pPr>
        <w:pBdr>
          <w:top w:val="nil"/>
          <w:left w:val="nil"/>
          <w:bottom w:val="nil"/>
          <w:right w:val="nil"/>
          <w:between w:val="nil"/>
        </w:pBdr>
        <w:rPr>
          <w:color w:val="000000"/>
          <w:sz w:val="20"/>
          <w:szCs w:val="20"/>
        </w:rPr>
      </w:pPr>
    </w:p>
    <w:p w14:paraId="2116A4F7" w14:textId="77777777" w:rsidR="00385301" w:rsidRDefault="00385301">
      <w:pPr>
        <w:pBdr>
          <w:top w:val="nil"/>
          <w:left w:val="nil"/>
          <w:bottom w:val="nil"/>
          <w:right w:val="nil"/>
          <w:between w:val="nil"/>
        </w:pBdr>
        <w:rPr>
          <w:color w:val="000000"/>
          <w:sz w:val="20"/>
          <w:szCs w:val="20"/>
        </w:rPr>
      </w:pPr>
    </w:p>
    <w:p w14:paraId="7CC365BA" w14:textId="77777777" w:rsidR="00385301" w:rsidRDefault="00385301">
      <w:pPr>
        <w:rPr>
          <w:sz w:val="20"/>
          <w:szCs w:val="20"/>
        </w:rPr>
        <w:sectPr w:rsidR="00385301">
          <w:type w:val="continuous"/>
          <w:pgSz w:w="12240" w:h="15840"/>
          <w:pgMar w:top="700" w:right="1320" w:bottom="280" w:left="1340" w:header="720" w:footer="720" w:gutter="0"/>
          <w:cols w:space="720" w:equalWidth="0">
            <w:col w:w="9360"/>
          </w:cols>
        </w:sectPr>
      </w:pPr>
    </w:p>
    <w:p w14:paraId="6F229424" w14:textId="77777777" w:rsidR="00385301" w:rsidRDefault="00882D31" w:rsidP="004A1BF6">
      <w:pPr>
        <w:spacing w:before="232"/>
        <w:ind w:left="100" w:right="-429"/>
        <w:rPr>
          <w:b/>
          <w:sz w:val="24"/>
          <w:szCs w:val="24"/>
        </w:rPr>
      </w:pPr>
      <w:r>
        <w:rPr>
          <w:b/>
          <w:bCs/>
          <w:sz w:val="24"/>
          <w:szCs w:val="24"/>
          <w:u w:val="single"/>
          <w:lang w:val="fr-CA"/>
        </w:rPr>
        <w:t>PERSONNEL DE SOUTIEN</w:t>
      </w:r>
    </w:p>
    <w:p w14:paraId="1C9A27C9" w14:textId="77777777" w:rsidR="00385301" w:rsidRDefault="00882D31">
      <w:pPr>
        <w:pBdr>
          <w:top w:val="nil"/>
          <w:left w:val="nil"/>
          <w:bottom w:val="nil"/>
          <w:right w:val="nil"/>
          <w:between w:val="nil"/>
        </w:pBdr>
        <w:rPr>
          <w:b/>
          <w:color w:val="000000"/>
          <w:sz w:val="26"/>
          <w:szCs w:val="26"/>
        </w:rPr>
      </w:pPr>
      <w:r>
        <w:rPr>
          <w:lang w:val="fr-CA"/>
        </w:rPr>
        <w:br w:type="column"/>
      </w:r>
    </w:p>
    <w:p w14:paraId="60F5037D" w14:textId="77777777" w:rsidR="00385301" w:rsidRDefault="00882D31" w:rsidP="000C5C15">
      <w:pPr>
        <w:pBdr>
          <w:top w:val="nil"/>
          <w:left w:val="nil"/>
          <w:bottom w:val="nil"/>
          <w:right w:val="nil"/>
          <w:between w:val="nil"/>
        </w:pBdr>
        <w:tabs>
          <w:tab w:val="left" w:pos="2979"/>
        </w:tabs>
        <w:spacing w:before="207"/>
        <w:rPr>
          <w:color w:val="000000"/>
          <w:sz w:val="24"/>
          <w:szCs w:val="24"/>
        </w:rPr>
      </w:pPr>
      <w:r>
        <w:rPr>
          <w:color w:val="000000"/>
          <w:sz w:val="24"/>
          <w:szCs w:val="24"/>
          <w:lang w:val="fr-CA"/>
        </w:rPr>
        <w:t>Laurie-Anne White</w:t>
      </w:r>
      <w:r>
        <w:rPr>
          <w:color w:val="000000"/>
          <w:sz w:val="24"/>
          <w:szCs w:val="24"/>
          <w:lang w:val="fr-CA"/>
        </w:rPr>
        <w:tab/>
        <w:t>Directrice générale</w:t>
      </w:r>
    </w:p>
    <w:p w14:paraId="3293B877" w14:textId="77777777" w:rsidR="00385301" w:rsidRDefault="00882D31" w:rsidP="000C5C15">
      <w:pPr>
        <w:pBdr>
          <w:top w:val="nil"/>
          <w:left w:val="nil"/>
          <w:bottom w:val="nil"/>
          <w:right w:val="nil"/>
          <w:between w:val="nil"/>
        </w:pBdr>
        <w:tabs>
          <w:tab w:val="left" w:pos="2979"/>
        </w:tabs>
        <w:spacing w:before="139"/>
        <w:rPr>
          <w:color w:val="000000"/>
          <w:sz w:val="24"/>
          <w:szCs w:val="24"/>
        </w:rPr>
      </w:pPr>
      <w:r>
        <w:rPr>
          <w:color w:val="000000"/>
          <w:sz w:val="24"/>
          <w:szCs w:val="24"/>
          <w:lang w:val="fr-CA"/>
        </w:rPr>
        <w:t>Wade Vienneau</w:t>
      </w:r>
      <w:r>
        <w:rPr>
          <w:color w:val="000000"/>
          <w:sz w:val="24"/>
          <w:szCs w:val="24"/>
          <w:lang w:val="fr-CA"/>
        </w:rPr>
        <w:tab/>
        <w:t>Consultant</w:t>
      </w:r>
    </w:p>
    <w:p w14:paraId="68186FD7" w14:textId="77777777" w:rsidR="00385301" w:rsidRDefault="00385301">
      <w:pPr>
        <w:sectPr w:rsidR="00385301" w:rsidSect="000C5C15">
          <w:type w:val="continuous"/>
          <w:pgSz w:w="12240" w:h="15840"/>
          <w:pgMar w:top="700" w:right="1320" w:bottom="280" w:left="1340" w:header="720" w:footer="720" w:gutter="0"/>
          <w:cols w:num="2" w:space="720" w:equalWidth="0">
            <w:col w:w="2811" w:space="1622"/>
            <w:col w:w="5147" w:space="0"/>
          </w:cols>
        </w:sectPr>
      </w:pPr>
    </w:p>
    <w:p w14:paraId="0C87774E" w14:textId="77777777" w:rsidR="00385301" w:rsidRDefault="00385301">
      <w:pPr>
        <w:pBdr>
          <w:top w:val="nil"/>
          <w:left w:val="nil"/>
          <w:bottom w:val="nil"/>
          <w:right w:val="nil"/>
          <w:between w:val="nil"/>
        </w:pBdr>
        <w:rPr>
          <w:color w:val="000000"/>
          <w:sz w:val="29"/>
          <w:szCs w:val="29"/>
        </w:rPr>
      </w:pPr>
    </w:p>
    <w:p w14:paraId="43F8A9E7" w14:textId="77777777" w:rsidR="00385301" w:rsidRDefault="00882D31">
      <w:pPr>
        <w:pStyle w:val="Heading1"/>
        <w:spacing w:before="90"/>
      </w:pPr>
      <w:r>
        <w:rPr>
          <w:lang w:val="fr-CA"/>
        </w:rPr>
        <w:t>LISTE DES ABRÉVIATIONS</w:t>
      </w:r>
    </w:p>
    <w:p w14:paraId="359AD018" w14:textId="77777777" w:rsidR="00385301" w:rsidRDefault="00385301">
      <w:pPr>
        <w:pStyle w:val="Heading1"/>
        <w:spacing w:before="90"/>
      </w:pPr>
    </w:p>
    <w:p w14:paraId="0F2E0602" w14:textId="77777777" w:rsidR="00385301" w:rsidRDefault="00385301">
      <w:pPr>
        <w:pStyle w:val="Heading1"/>
        <w:spacing w:before="90"/>
      </w:pPr>
    </w:p>
    <w:p w14:paraId="73A933AB" w14:textId="77777777" w:rsidR="00385301" w:rsidRDefault="00385301">
      <w:pPr>
        <w:pBdr>
          <w:top w:val="nil"/>
          <w:left w:val="nil"/>
          <w:bottom w:val="nil"/>
          <w:right w:val="nil"/>
          <w:between w:val="nil"/>
        </w:pBdr>
        <w:rPr>
          <w:b/>
          <w:color w:val="000000"/>
          <w:sz w:val="20"/>
          <w:szCs w:val="20"/>
        </w:rPr>
      </w:pPr>
    </w:p>
    <w:p w14:paraId="3D30291F" w14:textId="77777777" w:rsidR="00385301" w:rsidRDefault="00385301">
      <w:pPr>
        <w:pBdr>
          <w:top w:val="nil"/>
          <w:left w:val="nil"/>
          <w:bottom w:val="nil"/>
          <w:right w:val="nil"/>
          <w:between w:val="nil"/>
        </w:pBdr>
        <w:spacing w:before="8"/>
        <w:rPr>
          <w:b/>
          <w:color w:val="000000"/>
          <w:sz w:val="28"/>
          <w:szCs w:val="28"/>
        </w:rPr>
      </w:pPr>
    </w:p>
    <w:tbl>
      <w:tblPr>
        <w:tblStyle w:val="a"/>
        <w:tblW w:w="8460" w:type="dxa"/>
        <w:tblInd w:w="1170" w:type="dxa"/>
        <w:tblLayout w:type="fixed"/>
        <w:tblLook w:val="0000" w:firstRow="0" w:lastRow="0" w:firstColumn="0" w:lastColumn="0" w:noHBand="0" w:noVBand="0"/>
      </w:tblPr>
      <w:tblGrid>
        <w:gridCol w:w="1094"/>
        <w:gridCol w:w="7366"/>
      </w:tblGrid>
      <w:tr w:rsidR="006530D5" w14:paraId="24B1E1D0" w14:textId="77777777" w:rsidTr="00F439A3">
        <w:trPr>
          <w:trHeight w:val="225"/>
        </w:trPr>
        <w:tc>
          <w:tcPr>
            <w:tcW w:w="1094" w:type="dxa"/>
          </w:tcPr>
          <w:p w14:paraId="630335FB" w14:textId="77777777" w:rsidR="006530D5" w:rsidRDefault="006530D5" w:rsidP="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AAP</w:t>
            </w:r>
            <w:proofErr w:type="spellEnd"/>
          </w:p>
        </w:tc>
        <w:tc>
          <w:tcPr>
            <w:tcW w:w="7366" w:type="dxa"/>
          </w:tcPr>
          <w:p w14:paraId="0D3AD2B3"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Agente ou agent administratif principal</w:t>
            </w:r>
          </w:p>
        </w:tc>
      </w:tr>
      <w:tr w:rsidR="006530D5" w14:paraId="58BA74F5" w14:textId="77777777" w:rsidTr="00F439A3">
        <w:trPr>
          <w:trHeight w:val="225"/>
        </w:trPr>
        <w:tc>
          <w:tcPr>
            <w:tcW w:w="1094" w:type="dxa"/>
          </w:tcPr>
          <w:p w14:paraId="5730B8A9" w14:textId="77777777"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ALG</w:t>
            </w:r>
            <w:proofErr w:type="spellEnd"/>
          </w:p>
        </w:tc>
        <w:tc>
          <w:tcPr>
            <w:tcW w:w="7366" w:type="dxa"/>
          </w:tcPr>
          <w:p w14:paraId="03290BE8"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Agent ou agente de liaison du gouvernement</w:t>
            </w:r>
          </w:p>
        </w:tc>
      </w:tr>
      <w:tr w:rsidR="006530D5" w14:paraId="4A057A35" w14:textId="77777777" w:rsidTr="00F439A3">
        <w:trPr>
          <w:trHeight w:val="225"/>
        </w:trPr>
        <w:tc>
          <w:tcPr>
            <w:tcW w:w="1094" w:type="dxa"/>
          </w:tcPr>
          <w:p w14:paraId="1E27DC4C" w14:textId="4E978230"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CETES</w:t>
            </w:r>
            <w:proofErr w:type="spellEnd"/>
          </w:p>
        </w:tc>
        <w:tc>
          <w:tcPr>
            <w:tcW w:w="7366" w:type="dxa"/>
          </w:tcPr>
          <w:p w14:paraId="7A3B24F3" w14:textId="6D8BE981"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Conseil d’examen des taux des entreprises de service</w:t>
            </w:r>
            <w:r w:rsidR="00954B7B">
              <w:rPr>
                <w:color w:val="000000"/>
                <w:sz w:val="24"/>
                <w:szCs w:val="24"/>
                <w:lang w:val="fr-CA"/>
              </w:rPr>
              <w:t>s</w:t>
            </w:r>
            <w:r>
              <w:rPr>
                <w:color w:val="000000"/>
                <w:sz w:val="24"/>
                <w:szCs w:val="24"/>
                <w:lang w:val="fr-CA"/>
              </w:rPr>
              <w:t xml:space="preserve"> du Nunavut</w:t>
            </w:r>
          </w:p>
        </w:tc>
      </w:tr>
      <w:tr w:rsidR="006530D5" w14:paraId="6CCA10D1" w14:textId="77777777" w:rsidTr="00F439A3">
        <w:trPr>
          <w:trHeight w:val="225"/>
        </w:trPr>
        <w:tc>
          <w:tcPr>
            <w:tcW w:w="1094" w:type="dxa"/>
          </w:tcPr>
          <w:p w14:paraId="0425C542" w14:textId="77777777"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DPP</w:t>
            </w:r>
            <w:proofErr w:type="spellEnd"/>
          </w:p>
        </w:tc>
        <w:tc>
          <w:tcPr>
            <w:tcW w:w="7366" w:type="dxa"/>
          </w:tcPr>
          <w:p w14:paraId="380D2ED2" w14:textId="77777777" w:rsidR="006530D5" w:rsidRDefault="006530D5">
            <w:pPr>
              <w:pBdr>
                <w:top w:val="nil"/>
                <w:left w:val="nil"/>
                <w:bottom w:val="nil"/>
                <w:right w:val="nil"/>
                <w:between w:val="nil"/>
              </w:pBdr>
              <w:spacing w:before="64"/>
              <w:ind w:left="50" w:hanging="50"/>
              <w:rPr>
                <w:color w:val="000000"/>
                <w:sz w:val="24"/>
                <w:szCs w:val="24"/>
                <w:lang w:val="fr-CA"/>
              </w:rPr>
            </w:pPr>
            <w:r>
              <w:rPr>
                <w:sz w:val="24"/>
                <w:szCs w:val="24"/>
                <w:lang w:val="fr-CA"/>
              </w:rPr>
              <w:t>Division des produits pétroliers</w:t>
            </w:r>
          </w:p>
        </w:tc>
      </w:tr>
      <w:tr w:rsidR="006530D5" w14:paraId="0A464383" w14:textId="77777777" w:rsidTr="00F439A3">
        <w:trPr>
          <w:trHeight w:val="225"/>
        </w:trPr>
        <w:tc>
          <w:tcPr>
            <w:tcW w:w="1094" w:type="dxa"/>
          </w:tcPr>
          <w:p w14:paraId="1EF41CA9" w14:textId="77777777"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DPPM</w:t>
            </w:r>
            <w:proofErr w:type="spellEnd"/>
          </w:p>
        </w:tc>
        <w:tc>
          <w:tcPr>
            <w:tcW w:w="7366" w:type="dxa"/>
          </w:tcPr>
          <w:p w14:paraId="15FC4741"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Demande de permis pour projet majeur</w:t>
            </w:r>
          </w:p>
        </w:tc>
      </w:tr>
      <w:tr w:rsidR="006530D5" w14:paraId="22B05A0A" w14:textId="77777777" w:rsidTr="00F439A3">
        <w:trPr>
          <w:trHeight w:val="225"/>
        </w:trPr>
        <w:tc>
          <w:tcPr>
            <w:tcW w:w="1094" w:type="dxa"/>
          </w:tcPr>
          <w:p w14:paraId="2EBAA91C" w14:textId="0757EB5E" w:rsidR="006530D5" w:rsidRDefault="006530D5">
            <w:pPr>
              <w:pBdr>
                <w:top w:val="nil"/>
                <w:left w:val="nil"/>
                <w:bottom w:val="nil"/>
                <w:right w:val="nil"/>
                <w:between w:val="nil"/>
              </w:pBdr>
              <w:spacing w:before="64"/>
              <w:ind w:left="50" w:hanging="50"/>
              <w:rPr>
                <w:color w:val="000000"/>
                <w:sz w:val="24"/>
                <w:szCs w:val="24"/>
              </w:rPr>
            </w:pPr>
            <w:proofErr w:type="spellStart"/>
            <w:r>
              <w:rPr>
                <w:color w:val="000000"/>
                <w:sz w:val="24"/>
                <w:szCs w:val="24"/>
                <w:lang w:val="fr-CA"/>
              </w:rPr>
              <w:t>FEA</w:t>
            </w:r>
            <w:proofErr w:type="spellEnd"/>
          </w:p>
        </w:tc>
        <w:tc>
          <w:tcPr>
            <w:tcW w:w="7366" w:type="dxa"/>
          </w:tcPr>
          <w:p w14:paraId="0C6BE802" w14:textId="450F46DB" w:rsidR="006530D5" w:rsidRDefault="006530D5">
            <w:pPr>
              <w:pBdr>
                <w:top w:val="nil"/>
                <w:left w:val="nil"/>
                <w:bottom w:val="nil"/>
                <w:right w:val="nil"/>
                <w:between w:val="nil"/>
              </w:pBdr>
              <w:spacing w:before="64"/>
              <w:ind w:left="50" w:hanging="50"/>
              <w:rPr>
                <w:color w:val="000000"/>
                <w:sz w:val="24"/>
                <w:szCs w:val="24"/>
              </w:rPr>
            </w:pPr>
            <w:r>
              <w:rPr>
                <w:color w:val="000000"/>
                <w:sz w:val="24"/>
                <w:szCs w:val="24"/>
                <w:lang w:val="fr-CA"/>
              </w:rPr>
              <w:t>Fonds pour l’énergie dans l’Arctique</w:t>
            </w:r>
          </w:p>
        </w:tc>
      </w:tr>
      <w:tr w:rsidR="006530D5" w14:paraId="3FD5D4E0" w14:textId="77777777" w:rsidTr="00F439A3">
        <w:trPr>
          <w:trHeight w:val="225"/>
        </w:trPr>
        <w:tc>
          <w:tcPr>
            <w:tcW w:w="1094" w:type="dxa"/>
          </w:tcPr>
          <w:p w14:paraId="627AE5C8" w14:textId="77777777"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GN</w:t>
            </w:r>
            <w:proofErr w:type="spellEnd"/>
          </w:p>
        </w:tc>
        <w:tc>
          <w:tcPr>
            <w:tcW w:w="7366" w:type="dxa"/>
          </w:tcPr>
          <w:p w14:paraId="1FCE13AF"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Gouvernement du Nunavut</w:t>
            </w:r>
          </w:p>
        </w:tc>
      </w:tr>
      <w:tr w:rsidR="006530D5" w14:paraId="2A02FA16" w14:textId="77777777" w:rsidTr="00F439A3">
        <w:trPr>
          <w:trHeight w:val="225"/>
        </w:trPr>
        <w:tc>
          <w:tcPr>
            <w:tcW w:w="1094" w:type="dxa"/>
          </w:tcPr>
          <w:p w14:paraId="095466FA" w14:textId="77777777" w:rsidR="006530D5" w:rsidRDefault="006530D5">
            <w:pPr>
              <w:pBdr>
                <w:top w:val="nil"/>
                <w:left w:val="nil"/>
                <w:bottom w:val="nil"/>
                <w:right w:val="nil"/>
                <w:between w:val="nil"/>
              </w:pBdr>
              <w:spacing w:before="64"/>
              <w:ind w:left="50" w:hanging="50"/>
              <w:rPr>
                <w:color w:val="000000"/>
                <w:sz w:val="24"/>
                <w:szCs w:val="24"/>
                <w:lang w:val="fr-CA"/>
              </w:rPr>
            </w:pPr>
            <w:proofErr w:type="gramStart"/>
            <w:r>
              <w:rPr>
                <w:color w:val="000000"/>
                <w:sz w:val="24"/>
                <w:szCs w:val="24"/>
                <w:lang w:val="fr-CA"/>
              </w:rPr>
              <w:t>kW</w:t>
            </w:r>
            <w:proofErr w:type="gramEnd"/>
          </w:p>
        </w:tc>
        <w:tc>
          <w:tcPr>
            <w:tcW w:w="7366" w:type="dxa"/>
          </w:tcPr>
          <w:p w14:paraId="05FF30E2"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Kilowatt</w:t>
            </w:r>
          </w:p>
        </w:tc>
      </w:tr>
      <w:tr w:rsidR="006530D5" w14:paraId="74A48F36" w14:textId="77777777" w:rsidTr="00F439A3">
        <w:trPr>
          <w:trHeight w:val="225"/>
        </w:trPr>
        <w:tc>
          <w:tcPr>
            <w:tcW w:w="1094" w:type="dxa"/>
          </w:tcPr>
          <w:p w14:paraId="4F40E95F" w14:textId="77777777" w:rsidR="006530D5" w:rsidRDefault="006530D5">
            <w:pPr>
              <w:pBdr>
                <w:top w:val="nil"/>
                <w:left w:val="nil"/>
                <w:bottom w:val="nil"/>
                <w:right w:val="nil"/>
                <w:between w:val="nil"/>
              </w:pBdr>
              <w:spacing w:before="64"/>
              <w:ind w:left="50" w:hanging="50"/>
              <w:rPr>
                <w:color w:val="000000"/>
                <w:sz w:val="24"/>
                <w:szCs w:val="24"/>
                <w:lang w:val="fr-CA"/>
              </w:rPr>
            </w:pPr>
            <w:proofErr w:type="gramStart"/>
            <w:r>
              <w:rPr>
                <w:color w:val="000000"/>
                <w:sz w:val="24"/>
                <w:szCs w:val="24"/>
                <w:lang w:val="fr-CA"/>
              </w:rPr>
              <w:t>kWh</w:t>
            </w:r>
            <w:proofErr w:type="gramEnd"/>
          </w:p>
        </w:tc>
        <w:tc>
          <w:tcPr>
            <w:tcW w:w="7366" w:type="dxa"/>
          </w:tcPr>
          <w:p w14:paraId="0845B104"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Kilowattheure</w:t>
            </w:r>
          </w:p>
        </w:tc>
      </w:tr>
      <w:tr w:rsidR="006530D5" w14:paraId="6532401F" w14:textId="77777777" w:rsidTr="00F439A3">
        <w:trPr>
          <w:trHeight w:val="225"/>
        </w:trPr>
        <w:tc>
          <w:tcPr>
            <w:tcW w:w="1094" w:type="dxa"/>
          </w:tcPr>
          <w:p w14:paraId="681703A0" w14:textId="77777777"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PGI</w:t>
            </w:r>
            <w:proofErr w:type="spellEnd"/>
          </w:p>
        </w:tc>
        <w:tc>
          <w:tcPr>
            <w:tcW w:w="7366" w:type="dxa"/>
          </w:tcPr>
          <w:p w14:paraId="55F2F873"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Puissance garantie installée</w:t>
            </w:r>
          </w:p>
        </w:tc>
      </w:tr>
      <w:tr w:rsidR="006530D5" w14:paraId="33A6F1C5" w14:textId="77777777" w:rsidTr="00F439A3">
        <w:trPr>
          <w:trHeight w:val="225"/>
        </w:trPr>
        <w:tc>
          <w:tcPr>
            <w:tcW w:w="1094" w:type="dxa"/>
          </w:tcPr>
          <w:p w14:paraId="53D2D820" w14:textId="77777777"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PGR</w:t>
            </w:r>
            <w:proofErr w:type="spellEnd"/>
          </w:p>
        </w:tc>
        <w:tc>
          <w:tcPr>
            <w:tcW w:w="7366" w:type="dxa"/>
          </w:tcPr>
          <w:p w14:paraId="5ABA2EEC"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Puissance garantie requise</w:t>
            </w:r>
          </w:p>
        </w:tc>
      </w:tr>
      <w:tr w:rsidR="006530D5" w14:paraId="2EE542D4" w14:textId="77777777" w:rsidTr="00F439A3">
        <w:trPr>
          <w:trHeight w:val="225"/>
        </w:trPr>
        <w:tc>
          <w:tcPr>
            <w:tcW w:w="1094" w:type="dxa"/>
          </w:tcPr>
          <w:p w14:paraId="2695EAD5"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PI</w:t>
            </w:r>
          </w:p>
        </w:tc>
        <w:tc>
          <w:tcPr>
            <w:tcW w:w="7366" w:type="dxa"/>
          </w:tcPr>
          <w:p w14:paraId="605EC62B"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Puissance installée</w:t>
            </w:r>
          </w:p>
        </w:tc>
      </w:tr>
      <w:tr w:rsidR="006530D5" w14:paraId="5610B440" w14:textId="77777777" w:rsidTr="00F439A3">
        <w:trPr>
          <w:trHeight w:val="225"/>
        </w:trPr>
        <w:tc>
          <w:tcPr>
            <w:tcW w:w="1094" w:type="dxa"/>
          </w:tcPr>
          <w:p w14:paraId="2C418560" w14:textId="77777777"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RMTG</w:t>
            </w:r>
            <w:proofErr w:type="spellEnd"/>
          </w:p>
        </w:tc>
        <w:tc>
          <w:tcPr>
            <w:tcW w:w="7366" w:type="dxa"/>
          </w:tcPr>
          <w:p w14:paraId="68A67CDA"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Requête de majoration tarifaire générale</w:t>
            </w:r>
          </w:p>
        </w:tc>
      </w:tr>
      <w:tr w:rsidR="006530D5" w14:paraId="7A555813" w14:textId="77777777" w:rsidTr="00F439A3">
        <w:trPr>
          <w:trHeight w:val="225"/>
        </w:trPr>
        <w:tc>
          <w:tcPr>
            <w:tcW w:w="1094" w:type="dxa"/>
          </w:tcPr>
          <w:p w14:paraId="59DFDB28"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SAIDI</w:t>
            </w:r>
          </w:p>
        </w:tc>
        <w:tc>
          <w:tcPr>
            <w:tcW w:w="7366" w:type="dxa"/>
          </w:tcPr>
          <w:p w14:paraId="7BE77A8C" w14:textId="77777777" w:rsidR="006530D5" w:rsidRDefault="006530D5" w:rsidP="00F439A3">
            <w:pPr>
              <w:pBdr>
                <w:top w:val="nil"/>
                <w:left w:val="nil"/>
                <w:bottom w:val="nil"/>
                <w:right w:val="nil"/>
                <w:between w:val="nil"/>
              </w:pBdr>
              <w:spacing w:before="64"/>
              <w:rPr>
                <w:color w:val="000000"/>
                <w:sz w:val="24"/>
                <w:szCs w:val="24"/>
                <w:lang w:val="fr-CA"/>
              </w:rPr>
            </w:pPr>
            <w:r>
              <w:rPr>
                <w:color w:val="000000"/>
                <w:sz w:val="24"/>
                <w:szCs w:val="24"/>
                <w:lang w:val="fr-CA"/>
              </w:rPr>
              <w:t>Indice de durée moyenne des interruptions de service touchant le réseau</w:t>
            </w:r>
          </w:p>
        </w:tc>
      </w:tr>
      <w:tr w:rsidR="006530D5" w14:paraId="639DFE5F" w14:textId="77777777" w:rsidTr="00F439A3">
        <w:trPr>
          <w:trHeight w:val="225"/>
        </w:trPr>
        <w:tc>
          <w:tcPr>
            <w:tcW w:w="1094" w:type="dxa"/>
          </w:tcPr>
          <w:p w14:paraId="3720BDA0" w14:textId="77777777"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SAIFI</w:t>
            </w:r>
            <w:proofErr w:type="spellEnd"/>
          </w:p>
        </w:tc>
        <w:tc>
          <w:tcPr>
            <w:tcW w:w="7366" w:type="dxa"/>
          </w:tcPr>
          <w:p w14:paraId="7E176C2D" w14:textId="77777777" w:rsidR="006530D5" w:rsidRDefault="006530D5" w:rsidP="00F439A3">
            <w:pPr>
              <w:pBdr>
                <w:top w:val="nil"/>
                <w:left w:val="nil"/>
                <w:bottom w:val="nil"/>
                <w:right w:val="nil"/>
                <w:between w:val="nil"/>
              </w:pBdr>
              <w:spacing w:before="64"/>
              <w:rPr>
                <w:color w:val="000000"/>
                <w:sz w:val="24"/>
                <w:szCs w:val="24"/>
                <w:lang w:val="fr-CA"/>
              </w:rPr>
            </w:pPr>
            <w:r>
              <w:rPr>
                <w:color w:val="000000"/>
                <w:sz w:val="24"/>
                <w:szCs w:val="24"/>
                <w:lang w:val="fr-CA"/>
              </w:rPr>
              <w:t>Indice de fréquence moyenne des interruptions de service touchant le réseau</w:t>
            </w:r>
          </w:p>
        </w:tc>
      </w:tr>
      <w:tr w:rsidR="006530D5" w14:paraId="56F9167A" w14:textId="77777777" w:rsidTr="00F439A3">
        <w:trPr>
          <w:trHeight w:val="225"/>
        </w:trPr>
        <w:tc>
          <w:tcPr>
            <w:tcW w:w="1094" w:type="dxa"/>
          </w:tcPr>
          <w:p w14:paraId="3F345E73" w14:textId="77777777" w:rsidR="006530D5" w:rsidRDefault="006530D5">
            <w:pPr>
              <w:pBdr>
                <w:top w:val="nil"/>
                <w:left w:val="nil"/>
                <w:bottom w:val="nil"/>
                <w:right w:val="nil"/>
                <w:between w:val="nil"/>
              </w:pBdr>
              <w:spacing w:before="64"/>
              <w:ind w:left="50" w:hanging="50"/>
              <w:rPr>
                <w:color w:val="000000"/>
                <w:sz w:val="24"/>
                <w:szCs w:val="24"/>
                <w:lang w:val="fr-CA"/>
              </w:rPr>
            </w:pPr>
            <w:proofErr w:type="spellStart"/>
            <w:r>
              <w:rPr>
                <w:color w:val="000000"/>
                <w:sz w:val="24"/>
                <w:szCs w:val="24"/>
                <w:lang w:val="fr-CA"/>
              </w:rPr>
              <w:t>SÉQ</w:t>
            </w:r>
            <w:proofErr w:type="spellEnd"/>
          </w:p>
        </w:tc>
        <w:tc>
          <w:tcPr>
            <w:tcW w:w="7366" w:type="dxa"/>
          </w:tcPr>
          <w:p w14:paraId="571836BF" w14:textId="77777777" w:rsidR="006530D5" w:rsidRDefault="006530D5">
            <w:pPr>
              <w:pBdr>
                <w:top w:val="nil"/>
                <w:left w:val="nil"/>
                <w:bottom w:val="nil"/>
                <w:right w:val="nil"/>
                <w:between w:val="nil"/>
              </w:pBdr>
              <w:spacing w:before="64"/>
              <w:ind w:left="50" w:hanging="50"/>
              <w:rPr>
                <w:color w:val="000000"/>
                <w:sz w:val="24"/>
                <w:szCs w:val="24"/>
                <w:lang w:val="fr-CA"/>
              </w:rPr>
            </w:pPr>
            <w:r>
              <w:rPr>
                <w:color w:val="000000"/>
                <w:sz w:val="24"/>
                <w:szCs w:val="24"/>
                <w:lang w:val="fr-CA"/>
              </w:rPr>
              <w:t>Société d’énergie Qulliq</w:t>
            </w:r>
          </w:p>
        </w:tc>
      </w:tr>
    </w:tbl>
    <w:p w14:paraId="130F3231" w14:textId="77777777" w:rsidR="00385301" w:rsidRDefault="00385301">
      <w:pPr>
        <w:spacing w:line="256" w:lineRule="auto"/>
        <w:rPr>
          <w:sz w:val="24"/>
          <w:szCs w:val="24"/>
        </w:rPr>
        <w:sectPr w:rsidR="00385301" w:rsidSect="00C517C8">
          <w:pgSz w:w="12240" w:h="15840"/>
          <w:pgMar w:top="1000" w:right="1320" w:bottom="280" w:left="1340" w:header="794" w:footer="0" w:gutter="0"/>
          <w:cols w:space="720" w:equalWidth="0">
            <w:col w:w="9360"/>
          </w:cols>
          <w:titlePg/>
          <w:docGrid w:linePitch="299"/>
        </w:sectPr>
      </w:pPr>
    </w:p>
    <w:p w14:paraId="490548D5" w14:textId="77777777" w:rsidR="00385301" w:rsidRDefault="00385301">
      <w:pPr>
        <w:pBdr>
          <w:top w:val="nil"/>
          <w:left w:val="nil"/>
          <w:bottom w:val="nil"/>
          <w:right w:val="nil"/>
          <w:between w:val="nil"/>
        </w:pBdr>
        <w:rPr>
          <w:b/>
          <w:color w:val="000000"/>
          <w:sz w:val="20"/>
          <w:szCs w:val="20"/>
        </w:rPr>
      </w:pPr>
    </w:p>
    <w:p w14:paraId="6AC7F4B5" w14:textId="77777777" w:rsidR="00BC6BD4" w:rsidRDefault="00BC6BD4">
      <w:pPr>
        <w:pBdr>
          <w:top w:val="nil"/>
          <w:left w:val="nil"/>
          <w:bottom w:val="nil"/>
          <w:right w:val="nil"/>
          <w:between w:val="nil"/>
        </w:pBdr>
        <w:rPr>
          <w:b/>
          <w:color w:val="000000"/>
          <w:sz w:val="20"/>
          <w:szCs w:val="20"/>
        </w:rPr>
      </w:pPr>
    </w:p>
    <w:p w14:paraId="1403C216" w14:textId="77777777" w:rsidR="00385301" w:rsidRPr="00BC6BD4" w:rsidRDefault="00385301" w:rsidP="00BC6BD4">
      <w:pPr>
        <w:rPr>
          <w:sz w:val="20"/>
          <w:szCs w:val="20"/>
        </w:rPr>
      </w:pPr>
    </w:p>
    <w:p w14:paraId="6F39830E" w14:textId="77777777" w:rsidR="00385301" w:rsidRDefault="00385301">
      <w:pPr>
        <w:pBdr>
          <w:top w:val="nil"/>
          <w:left w:val="nil"/>
          <w:bottom w:val="nil"/>
          <w:right w:val="nil"/>
          <w:between w:val="nil"/>
        </w:pBdr>
        <w:spacing w:before="6"/>
        <w:rPr>
          <w:b/>
          <w:color w:val="000000"/>
          <w:sz w:val="21"/>
          <w:szCs w:val="21"/>
        </w:rPr>
      </w:pPr>
    </w:p>
    <w:p w14:paraId="0C65B1B7" w14:textId="77777777" w:rsidR="00385301" w:rsidRDefault="00882D31">
      <w:pPr>
        <w:spacing w:before="85"/>
        <w:ind w:left="100"/>
        <w:rPr>
          <w:b/>
          <w:sz w:val="24"/>
          <w:szCs w:val="24"/>
        </w:rPr>
      </w:pPr>
      <w:r>
        <w:rPr>
          <w:b/>
          <w:bCs/>
          <w:sz w:val="24"/>
          <w:szCs w:val="24"/>
          <w:lang w:val="fr-CA"/>
        </w:rPr>
        <w:t>TABLE DES MATIÈRES</w:t>
      </w:r>
    </w:p>
    <w:p w14:paraId="345F7640" w14:textId="77777777" w:rsidR="00385301" w:rsidRDefault="00385301">
      <w:pPr>
        <w:pBdr>
          <w:top w:val="nil"/>
          <w:left w:val="nil"/>
          <w:bottom w:val="nil"/>
          <w:right w:val="nil"/>
          <w:between w:val="nil"/>
        </w:pBdr>
        <w:rPr>
          <w:b/>
          <w:color w:val="000000"/>
          <w:sz w:val="34"/>
          <w:szCs w:val="34"/>
        </w:rPr>
      </w:pPr>
    </w:p>
    <w:p w14:paraId="46A2D0D0" w14:textId="2F07BB2C" w:rsidR="00B86DFC" w:rsidRDefault="004033EA" w:rsidP="00D92EF0">
      <w:pPr>
        <w:pStyle w:val="TOC1"/>
        <w:rPr>
          <w:rFonts w:asciiTheme="minorHAnsi" w:eastAsiaTheme="minorEastAsia" w:hAnsiTheme="minorHAnsi" w:cstheme="minorBidi"/>
          <w:noProof/>
          <w:lang w:val="en-CA" w:eastAsia="en-CA"/>
        </w:rPr>
      </w:pPr>
      <w:r>
        <w:rPr>
          <w:b/>
          <w:bCs/>
          <w:color w:val="000000"/>
          <w:sz w:val="32"/>
          <w:szCs w:val="32"/>
          <w:lang w:val="fr-CA"/>
        </w:rPr>
        <w:fldChar w:fldCharType="begin"/>
      </w:r>
      <w:r>
        <w:rPr>
          <w:b/>
          <w:color w:val="000000"/>
          <w:sz w:val="32"/>
          <w:szCs w:val="32"/>
        </w:rPr>
        <w:instrText xml:space="preserve"> TOC \h \z \t "URRC_Heading 1,1,URRC_Heading 2,2" </w:instrText>
      </w:r>
      <w:r>
        <w:rPr>
          <w:b/>
          <w:color w:val="000000"/>
          <w:sz w:val="32"/>
          <w:szCs w:val="32"/>
        </w:rPr>
        <w:fldChar w:fldCharType="separate"/>
      </w:r>
      <w:hyperlink w:anchor="_Toc84252925" w:history="1">
        <w:r w:rsidR="00B86DFC" w:rsidRPr="0070490E">
          <w:rPr>
            <w:rStyle w:val="Hyperlink"/>
            <w:noProof/>
          </w:rPr>
          <w:t>1.0</w:t>
        </w:r>
        <w:r w:rsidR="00B86DFC">
          <w:rPr>
            <w:rFonts w:asciiTheme="minorHAnsi" w:eastAsiaTheme="minorEastAsia" w:hAnsiTheme="minorHAnsi" w:cstheme="minorBidi"/>
            <w:noProof/>
            <w:lang w:val="en-CA" w:eastAsia="en-CA"/>
          </w:rPr>
          <w:tab/>
        </w:r>
        <w:r w:rsidR="00B86DFC" w:rsidRPr="0070490E">
          <w:rPr>
            <w:rStyle w:val="Hyperlink"/>
            <w:bCs/>
            <w:noProof/>
            <w:lang w:val="fr-CA"/>
          </w:rPr>
          <w:t>CONTEXTE</w:t>
        </w:r>
        <w:r w:rsidR="00B86DFC">
          <w:rPr>
            <w:noProof/>
            <w:webHidden/>
          </w:rPr>
          <w:tab/>
        </w:r>
        <w:r w:rsidR="00B86DFC">
          <w:rPr>
            <w:noProof/>
            <w:webHidden/>
          </w:rPr>
          <w:fldChar w:fldCharType="begin"/>
        </w:r>
        <w:r w:rsidR="00B86DFC">
          <w:rPr>
            <w:noProof/>
            <w:webHidden/>
          </w:rPr>
          <w:instrText xml:space="preserve"> PAGEREF _Toc84252925 \h </w:instrText>
        </w:r>
        <w:r w:rsidR="00B86DFC">
          <w:rPr>
            <w:noProof/>
            <w:webHidden/>
          </w:rPr>
        </w:r>
        <w:r w:rsidR="00B86DFC">
          <w:rPr>
            <w:noProof/>
            <w:webHidden/>
          </w:rPr>
          <w:fldChar w:fldCharType="separate"/>
        </w:r>
        <w:r w:rsidR="00240FED">
          <w:rPr>
            <w:noProof/>
            <w:webHidden/>
          </w:rPr>
          <w:t>1</w:t>
        </w:r>
        <w:r w:rsidR="00B86DFC">
          <w:rPr>
            <w:noProof/>
            <w:webHidden/>
          </w:rPr>
          <w:fldChar w:fldCharType="end"/>
        </w:r>
      </w:hyperlink>
    </w:p>
    <w:p w14:paraId="6F31A56F" w14:textId="3493E23B" w:rsidR="00B86DFC" w:rsidRDefault="00240FED" w:rsidP="00D92EF0">
      <w:pPr>
        <w:pStyle w:val="TOC1"/>
        <w:rPr>
          <w:rFonts w:asciiTheme="minorHAnsi" w:eastAsiaTheme="minorEastAsia" w:hAnsiTheme="minorHAnsi" w:cstheme="minorBidi"/>
          <w:noProof/>
          <w:lang w:val="en-CA" w:eastAsia="en-CA"/>
        </w:rPr>
      </w:pPr>
      <w:hyperlink w:anchor="_Toc84252926" w:history="1">
        <w:r w:rsidR="00B86DFC" w:rsidRPr="0070490E">
          <w:rPr>
            <w:rStyle w:val="Hyperlink"/>
            <w:noProof/>
          </w:rPr>
          <w:t>2.0</w:t>
        </w:r>
        <w:r w:rsidR="00B86DFC">
          <w:rPr>
            <w:rFonts w:asciiTheme="minorHAnsi" w:eastAsiaTheme="minorEastAsia" w:hAnsiTheme="minorHAnsi" w:cstheme="minorBidi"/>
            <w:noProof/>
            <w:lang w:val="en-CA" w:eastAsia="en-CA"/>
          </w:rPr>
          <w:tab/>
        </w:r>
        <w:r w:rsidR="00B86DFC" w:rsidRPr="0070490E">
          <w:rPr>
            <w:rStyle w:val="Hyperlink"/>
            <w:bCs/>
            <w:noProof/>
            <w:lang w:val="fr-CA"/>
          </w:rPr>
          <w:t>DÉTAILS DE LA REQUÊTE</w:t>
        </w:r>
        <w:r w:rsidR="00B86DFC">
          <w:rPr>
            <w:noProof/>
            <w:webHidden/>
          </w:rPr>
          <w:tab/>
        </w:r>
        <w:r w:rsidR="00B86DFC">
          <w:rPr>
            <w:noProof/>
            <w:webHidden/>
          </w:rPr>
          <w:fldChar w:fldCharType="begin"/>
        </w:r>
        <w:r w:rsidR="00B86DFC">
          <w:rPr>
            <w:noProof/>
            <w:webHidden/>
          </w:rPr>
          <w:instrText xml:space="preserve"> PAGEREF _Toc84252926 \h </w:instrText>
        </w:r>
        <w:r w:rsidR="00B86DFC">
          <w:rPr>
            <w:noProof/>
            <w:webHidden/>
          </w:rPr>
        </w:r>
        <w:r w:rsidR="00B86DFC">
          <w:rPr>
            <w:noProof/>
            <w:webHidden/>
          </w:rPr>
          <w:fldChar w:fldCharType="separate"/>
        </w:r>
        <w:r>
          <w:rPr>
            <w:noProof/>
            <w:webHidden/>
          </w:rPr>
          <w:t>3</w:t>
        </w:r>
        <w:r w:rsidR="00B86DFC">
          <w:rPr>
            <w:noProof/>
            <w:webHidden/>
          </w:rPr>
          <w:fldChar w:fldCharType="end"/>
        </w:r>
      </w:hyperlink>
    </w:p>
    <w:p w14:paraId="5EA4866A" w14:textId="4B6B50FB" w:rsidR="00B86DFC" w:rsidRDefault="00240FED" w:rsidP="00D92EF0">
      <w:pPr>
        <w:pStyle w:val="TOC1"/>
        <w:rPr>
          <w:rFonts w:asciiTheme="minorHAnsi" w:eastAsiaTheme="minorEastAsia" w:hAnsiTheme="minorHAnsi" w:cstheme="minorBidi"/>
          <w:noProof/>
          <w:lang w:val="en-CA" w:eastAsia="en-CA"/>
        </w:rPr>
      </w:pPr>
      <w:hyperlink w:anchor="_Toc84252927" w:history="1">
        <w:r w:rsidR="00B86DFC" w:rsidRPr="0070490E">
          <w:rPr>
            <w:rStyle w:val="Hyperlink"/>
            <w:noProof/>
          </w:rPr>
          <w:t>3.0</w:t>
        </w:r>
        <w:r w:rsidR="00B86DFC">
          <w:rPr>
            <w:rFonts w:asciiTheme="minorHAnsi" w:eastAsiaTheme="minorEastAsia" w:hAnsiTheme="minorHAnsi" w:cstheme="minorBidi"/>
            <w:noProof/>
            <w:lang w:val="en-CA" w:eastAsia="en-CA"/>
          </w:rPr>
          <w:tab/>
        </w:r>
        <w:r w:rsidR="00B86DFC" w:rsidRPr="0070490E">
          <w:rPr>
            <w:rStyle w:val="Hyperlink"/>
            <w:bCs/>
            <w:noProof/>
            <w:lang w:val="fr-CA"/>
          </w:rPr>
          <w:t>PROCESSUS</w:t>
        </w:r>
        <w:r w:rsidR="00B86DFC">
          <w:rPr>
            <w:noProof/>
            <w:webHidden/>
          </w:rPr>
          <w:tab/>
        </w:r>
        <w:r w:rsidR="00B86DFC">
          <w:rPr>
            <w:noProof/>
            <w:webHidden/>
          </w:rPr>
          <w:fldChar w:fldCharType="begin"/>
        </w:r>
        <w:r w:rsidR="00B86DFC">
          <w:rPr>
            <w:noProof/>
            <w:webHidden/>
          </w:rPr>
          <w:instrText xml:space="preserve"> PAGEREF _Toc84252927 \h </w:instrText>
        </w:r>
        <w:r w:rsidR="00B86DFC">
          <w:rPr>
            <w:noProof/>
            <w:webHidden/>
          </w:rPr>
        </w:r>
        <w:r w:rsidR="00B86DFC">
          <w:rPr>
            <w:noProof/>
            <w:webHidden/>
          </w:rPr>
          <w:fldChar w:fldCharType="separate"/>
        </w:r>
        <w:r>
          <w:rPr>
            <w:noProof/>
            <w:webHidden/>
          </w:rPr>
          <w:t>6</w:t>
        </w:r>
        <w:r w:rsidR="00B86DFC">
          <w:rPr>
            <w:noProof/>
            <w:webHidden/>
          </w:rPr>
          <w:fldChar w:fldCharType="end"/>
        </w:r>
      </w:hyperlink>
    </w:p>
    <w:p w14:paraId="68C56A58" w14:textId="6F0E8EE3" w:rsidR="00B86DFC" w:rsidRDefault="00240FED">
      <w:pPr>
        <w:pStyle w:val="TOC2"/>
        <w:rPr>
          <w:rFonts w:asciiTheme="minorHAnsi" w:eastAsiaTheme="minorEastAsia" w:hAnsiTheme="minorHAnsi" w:cstheme="minorBidi"/>
          <w:noProof/>
          <w:lang w:val="en-CA" w:eastAsia="en-CA"/>
        </w:rPr>
      </w:pPr>
      <w:hyperlink w:anchor="_Toc84252928" w:history="1">
        <w:r w:rsidR="00B86DFC" w:rsidRPr="0070490E">
          <w:rPr>
            <w:rStyle w:val="Hyperlink"/>
            <w:noProof/>
          </w:rPr>
          <w:t>3.1</w:t>
        </w:r>
        <w:r w:rsidR="00B86DFC">
          <w:rPr>
            <w:rFonts w:asciiTheme="minorHAnsi" w:eastAsiaTheme="minorEastAsia" w:hAnsiTheme="minorHAnsi" w:cstheme="minorBidi"/>
            <w:noProof/>
            <w:lang w:val="en-CA" w:eastAsia="en-CA"/>
          </w:rPr>
          <w:tab/>
        </w:r>
        <w:r w:rsidR="00B86DFC" w:rsidRPr="0070490E">
          <w:rPr>
            <w:rStyle w:val="Hyperlink"/>
            <w:bCs/>
            <w:noProof/>
            <w:lang w:val="fr-CA"/>
          </w:rPr>
          <w:t>DEMANDE PEU IMPORTANTE OU IMPORTANTE</w:t>
        </w:r>
        <w:r w:rsidR="00B86DFC">
          <w:rPr>
            <w:noProof/>
            <w:webHidden/>
          </w:rPr>
          <w:tab/>
        </w:r>
        <w:r w:rsidR="00B86DFC">
          <w:rPr>
            <w:noProof/>
            <w:webHidden/>
          </w:rPr>
          <w:fldChar w:fldCharType="begin"/>
        </w:r>
        <w:r w:rsidR="00B86DFC">
          <w:rPr>
            <w:noProof/>
            <w:webHidden/>
          </w:rPr>
          <w:instrText xml:space="preserve"> PAGEREF _Toc84252928 \h </w:instrText>
        </w:r>
        <w:r w:rsidR="00B86DFC">
          <w:rPr>
            <w:noProof/>
            <w:webHidden/>
          </w:rPr>
        </w:r>
        <w:r w:rsidR="00B86DFC">
          <w:rPr>
            <w:noProof/>
            <w:webHidden/>
          </w:rPr>
          <w:fldChar w:fldCharType="separate"/>
        </w:r>
        <w:r>
          <w:rPr>
            <w:noProof/>
            <w:webHidden/>
          </w:rPr>
          <w:t>6</w:t>
        </w:r>
        <w:r w:rsidR="00B86DFC">
          <w:rPr>
            <w:noProof/>
            <w:webHidden/>
          </w:rPr>
          <w:fldChar w:fldCharType="end"/>
        </w:r>
      </w:hyperlink>
    </w:p>
    <w:p w14:paraId="788DAA00" w14:textId="1C8C9546" w:rsidR="00B86DFC" w:rsidRDefault="00240FED">
      <w:pPr>
        <w:pStyle w:val="TOC2"/>
        <w:rPr>
          <w:rFonts w:asciiTheme="minorHAnsi" w:eastAsiaTheme="minorEastAsia" w:hAnsiTheme="minorHAnsi" w:cstheme="minorBidi"/>
          <w:noProof/>
          <w:lang w:val="en-CA" w:eastAsia="en-CA"/>
        </w:rPr>
      </w:pPr>
      <w:hyperlink w:anchor="_Toc84252929" w:history="1">
        <w:r w:rsidR="00B86DFC" w:rsidRPr="0070490E">
          <w:rPr>
            <w:rStyle w:val="Hyperlink"/>
            <w:noProof/>
          </w:rPr>
          <w:t>3.2</w:t>
        </w:r>
        <w:r w:rsidR="00B86DFC">
          <w:rPr>
            <w:rFonts w:asciiTheme="minorHAnsi" w:eastAsiaTheme="minorEastAsia" w:hAnsiTheme="minorHAnsi" w:cstheme="minorBidi"/>
            <w:noProof/>
            <w:lang w:val="en-CA" w:eastAsia="en-CA"/>
          </w:rPr>
          <w:tab/>
        </w:r>
        <w:r w:rsidR="00B86DFC" w:rsidRPr="0070490E">
          <w:rPr>
            <w:rStyle w:val="Hyperlink"/>
            <w:bCs/>
            <w:noProof/>
            <w:lang w:val="fr-CA"/>
          </w:rPr>
          <w:t>PROCESSUS DE CONSULTATION DU PUBLIC</w:t>
        </w:r>
        <w:r w:rsidR="00B86DFC">
          <w:rPr>
            <w:noProof/>
            <w:webHidden/>
          </w:rPr>
          <w:tab/>
        </w:r>
        <w:r w:rsidR="00B86DFC">
          <w:rPr>
            <w:noProof/>
            <w:webHidden/>
          </w:rPr>
          <w:fldChar w:fldCharType="begin"/>
        </w:r>
        <w:r w:rsidR="00B86DFC">
          <w:rPr>
            <w:noProof/>
            <w:webHidden/>
          </w:rPr>
          <w:instrText xml:space="preserve"> PAGEREF _Toc84252929 \h </w:instrText>
        </w:r>
        <w:r w:rsidR="00B86DFC">
          <w:rPr>
            <w:noProof/>
            <w:webHidden/>
          </w:rPr>
        </w:r>
        <w:r w:rsidR="00B86DFC">
          <w:rPr>
            <w:noProof/>
            <w:webHidden/>
          </w:rPr>
          <w:fldChar w:fldCharType="separate"/>
        </w:r>
        <w:r>
          <w:rPr>
            <w:noProof/>
            <w:webHidden/>
          </w:rPr>
          <w:t>6</w:t>
        </w:r>
        <w:r w:rsidR="00B86DFC">
          <w:rPr>
            <w:noProof/>
            <w:webHidden/>
          </w:rPr>
          <w:fldChar w:fldCharType="end"/>
        </w:r>
      </w:hyperlink>
    </w:p>
    <w:p w14:paraId="6DBFC1C0" w14:textId="58476D2E" w:rsidR="00B86DFC" w:rsidRDefault="00240FED" w:rsidP="00D92EF0">
      <w:pPr>
        <w:pStyle w:val="TOC1"/>
        <w:rPr>
          <w:rFonts w:asciiTheme="minorHAnsi" w:eastAsiaTheme="minorEastAsia" w:hAnsiTheme="minorHAnsi" w:cstheme="minorBidi"/>
          <w:noProof/>
          <w:lang w:val="en-CA" w:eastAsia="en-CA"/>
        </w:rPr>
      </w:pPr>
      <w:hyperlink w:anchor="_Toc84252930" w:history="1">
        <w:r w:rsidR="00B86DFC" w:rsidRPr="0070490E">
          <w:rPr>
            <w:rStyle w:val="Hyperlink"/>
            <w:noProof/>
          </w:rPr>
          <w:t>4.0</w:t>
        </w:r>
        <w:r w:rsidR="00B86DFC">
          <w:rPr>
            <w:rFonts w:asciiTheme="minorHAnsi" w:eastAsiaTheme="minorEastAsia" w:hAnsiTheme="minorHAnsi" w:cstheme="minorBidi"/>
            <w:noProof/>
            <w:lang w:val="en-CA" w:eastAsia="en-CA"/>
          </w:rPr>
          <w:tab/>
        </w:r>
        <w:r w:rsidR="00B86DFC" w:rsidRPr="0070490E">
          <w:rPr>
            <w:rStyle w:val="Hyperlink"/>
            <w:bCs/>
            <w:noProof/>
            <w:lang w:val="fr-CA"/>
          </w:rPr>
          <w:t>EXAMEN DE LA DEMANDE</w:t>
        </w:r>
        <w:r w:rsidR="00B86DFC">
          <w:rPr>
            <w:noProof/>
            <w:webHidden/>
          </w:rPr>
          <w:tab/>
        </w:r>
        <w:r w:rsidR="00B86DFC">
          <w:rPr>
            <w:noProof/>
            <w:webHidden/>
          </w:rPr>
          <w:fldChar w:fldCharType="begin"/>
        </w:r>
        <w:r w:rsidR="00B86DFC">
          <w:rPr>
            <w:noProof/>
            <w:webHidden/>
          </w:rPr>
          <w:instrText xml:space="preserve"> PAGEREF _Toc84252930 \h </w:instrText>
        </w:r>
        <w:r w:rsidR="00B86DFC">
          <w:rPr>
            <w:noProof/>
            <w:webHidden/>
          </w:rPr>
        </w:r>
        <w:r w:rsidR="00B86DFC">
          <w:rPr>
            <w:noProof/>
            <w:webHidden/>
          </w:rPr>
          <w:fldChar w:fldCharType="separate"/>
        </w:r>
        <w:r>
          <w:rPr>
            <w:noProof/>
            <w:webHidden/>
          </w:rPr>
          <w:t>7</w:t>
        </w:r>
        <w:r w:rsidR="00B86DFC">
          <w:rPr>
            <w:noProof/>
            <w:webHidden/>
          </w:rPr>
          <w:fldChar w:fldCharType="end"/>
        </w:r>
      </w:hyperlink>
    </w:p>
    <w:p w14:paraId="7078D769" w14:textId="473453E1" w:rsidR="00B86DFC" w:rsidRDefault="00240FED">
      <w:pPr>
        <w:pStyle w:val="TOC2"/>
        <w:rPr>
          <w:rFonts w:asciiTheme="minorHAnsi" w:eastAsiaTheme="minorEastAsia" w:hAnsiTheme="minorHAnsi" w:cstheme="minorBidi"/>
          <w:noProof/>
          <w:lang w:val="en-CA" w:eastAsia="en-CA"/>
        </w:rPr>
      </w:pPr>
      <w:hyperlink w:anchor="_Toc84252931" w:history="1">
        <w:r w:rsidR="00B86DFC" w:rsidRPr="0070490E">
          <w:rPr>
            <w:rStyle w:val="Hyperlink"/>
            <w:noProof/>
          </w:rPr>
          <w:t>4.1</w:t>
        </w:r>
        <w:r w:rsidR="00B86DFC">
          <w:rPr>
            <w:rFonts w:asciiTheme="minorHAnsi" w:eastAsiaTheme="minorEastAsia" w:hAnsiTheme="minorHAnsi" w:cstheme="minorBidi"/>
            <w:noProof/>
            <w:lang w:val="en-CA" w:eastAsia="en-CA"/>
          </w:rPr>
          <w:tab/>
        </w:r>
        <w:r w:rsidR="00B86DFC" w:rsidRPr="0070490E">
          <w:rPr>
            <w:rStyle w:val="Hyperlink"/>
            <w:bCs/>
            <w:noProof/>
            <w:lang w:val="fr-CA"/>
          </w:rPr>
          <w:t>BESOIN DU PROJET</w:t>
        </w:r>
        <w:r w:rsidR="00B86DFC">
          <w:rPr>
            <w:noProof/>
            <w:webHidden/>
          </w:rPr>
          <w:tab/>
        </w:r>
        <w:r w:rsidR="00B86DFC">
          <w:rPr>
            <w:noProof/>
            <w:webHidden/>
          </w:rPr>
          <w:fldChar w:fldCharType="begin"/>
        </w:r>
        <w:r w:rsidR="00B86DFC">
          <w:rPr>
            <w:noProof/>
            <w:webHidden/>
          </w:rPr>
          <w:instrText xml:space="preserve"> PAGEREF _Toc84252931 \h </w:instrText>
        </w:r>
        <w:r w:rsidR="00B86DFC">
          <w:rPr>
            <w:noProof/>
            <w:webHidden/>
          </w:rPr>
        </w:r>
        <w:r w:rsidR="00B86DFC">
          <w:rPr>
            <w:noProof/>
            <w:webHidden/>
          </w:rPr>
          <w:fldChar w:fldCharType="separate"/>
        </w:r>
        <w:r>
          <w:rPr>
            <w:noProof/>
            <w:webHidden/>
          </w:rPr>
          <w:t>7</w:t>
        </w:r>
        <w:r w:rsidR="00B86DFC">
          <w:rPr>
            <w:noProof/>
            <w:webHidden/>
          </w:rPr>
          <w:fldChar w:fldCharType="end"/>
        </w:r>
      </w:hyperlink>
    </w:p>
    <w:p w14:paraId="66ECD04D" w14:textId="3D82B43B" w:rsidR="00B86DFC" w:rsidRDefault="00240FED">
      <w:pPr>
        <w:pStyle w:val="TOC2"/>
        <w:rPr>
          <w:rFonts w:asciiTheme="minorHAnsi" w:eastAsiaTheme="minorEastAsia" w:hAnsiTheme="minorHAnsi" w:cstheme="minorBidi"/>
          <w:noProof/>
          <w:lang w:val="en-CA" w:eastAsia="en-CA"/>
        </w:rPr>
      </w:pPr>
      <w:hyperlink w:anchor="_Toc84252932" w:history="1">
        <w:r w:rsidR="00B86DFC" w:rsidRPr="0070490E">
          <w:rPr>
            <w:rStyle w:val="Hyperlink"/>
            <w:noProof/>
          </w:rPr>
          <w:t>4.2</w:t>
        </w:r>
        <w:r w:rsidR="00B86DFC">
          <w:rPr>
            <w:rFonts w:asciiTheme="minorHAnsi" w:eastAsiaTheme="minorEastAsia" w:hAnsiTheme="minorHAnsi" w:cstheme="minorBidi"/>
            <w:noProof/>
            <w:lang w:val="en-CA" w:eastAsia="en-CA"/>
          </w:rPr>
          <w:tab/>
        </w:r>
        <w:r w:rsidR="00B86DFC" w:rsidRPr="0070490E">
          <w:rPr>
            <w:rStyle w:val="Hyperlink"/>
            <w:bCs/>
            <w:noProof/>
            <w:lang w:val="fr-CA"/>
          </w:rPr>
          <w:t>AUTRES OPTIONS POUR RÉPONDRE AU BESOIN</w:t>
        </w:r>
        <w:r w:rsidR="00B86DFC">
          <w:rPr>
            <w:noProof/>
            <w:webHidden/>
          </w:rPr>
          <w:tab/>
        </w:r>
        <w:r w:rsidR="00B86DFC">
          <w:rPr>
            <w:noProof/>
            <w:webHidden/>
          </w:rPr>
          <w:fldChar w:fldCharType="begin"/>
        </w:r>
        <w:r w:rsidR="00B86DFC">
          <w:rPr>
            <w:noProof/>
            <w:webHidden/>
          </w:rPr>
          <w:instrText xml:space="preserve"> PAGEREF _Toc84252932 \h </w:instrText>
        </w:r>
        <w:r w:rsidR="00B86DFC">
          <w:rPr>
            <w:noProof/>
            <w:webHidden/>
          </w:rPr>
        </w:r>
        <w:r w:rsidR="00B86DFC">
          <w:rPr>
            <w:noProof/>
            <w:webHidden/>
          </w:rPr>
          <w:fldChar w:fldCharType="separate"/>
        </w:r>
        <w:r>
          <w:rPr>
            <w:noProof/>
            <w:webHidden/>
          </w:rPr>
          <w:t>8</w:t>
        </w:r>
        <w:r w:rsidR="00B86DFC">
          <w:rPr>
            <w:noProof/>
            <w:webHidden/>
          </w:rPr>
          <w:fldChar w:fldCharType="end"/>
        </w:r>
      </w:hyperlink>
    </w:p>
    <w:p w14:paraId="26000F3D" w14:textId="5A491EF0" w:rsidR="00B86DFC" w:rsidRDefault="00240FED" w:rsidP="00D92EF0">
      <w:pPr>
        <w:pStyle w:val="TOC1"/>
        <w:rPr>
          <w:rFonts w:asciiTheme="minorHAnsi" w:eastAsiaTheme="minorEastAsia" w:hAnsiTheme="minorHAnsi" w:cstheme="minorBidi"/>
          <w:noProof/>
          <w:lang w:val="en-CA" w:eastAsia="en-CA"/>
        </w:rPr>
      </w:pPr>
      <w:hyperlink w:anchor="_Toc84252933" w:history="1">
        <w:r w:rsidR="00B86DFC" w:rsidRPr="0070490E">
          <w:rPr>
            <w:rStyle w:val="Hyperlink"/>
            <w:noProof/>
          </w:rPr>
          <w:t>5.0</w:t>
        </w:r>
        <w:r w:rsidR="00B86DFC">
          <w:rPr>
            <w:rFonts w:asciiTheme="minorHAnsi" w:eastAsiaTheme="minorEastAsia" w:hAnsiTheme="minorHAnsi" w:cstheme="minorBidi"/>
            <w:noProof/>
            <w:lang w:val="en-CA" w:eastAsia="en-CA"/>
          </w:rPr>
          <w:tab/>
        </w:r>
        <w:r w:rsidR="00B86DFC" w:rsidRPr="0070490E">
          <w:rPr>
            <w:rStyle w:val="Hyperlink"/>
            <w:bCs/>
            <w:noProof/>
            <w:lang w:val="fr-CA"/>
          </w:rPr>
          <w:t>RECOMMANDATION DU CETES</w:t>
        </w:r>
        <w:r w:rsidR="00B86DFC">
          <w:rPr>
            <w:noProof/>
            <w:webHidden/>
          </w:rPr>
          <w:tab/>
        </w:r>
        <w:r w:rsidR="00B86DFC">
          <w:rPr>
            <w:noProof/>
            <w:webHidden/>
          </w:rPr>
          <w:fldChar w:fldCharType="begin"/>
        </w:r>
        <w:r w:rsidR="00B86DFC">
          <w:rPr>
            <w:noProof/>
            <w:webHidden/>
          </w:rPr>
          <w:instrText xml:space="preserve"> PAGEREF _Toc84252933 \h </w:instrText>
        </w:r>
        <w:r w:rsidR="00B86DFC">
          <w:rPr>
            <w:noProof/>
            <w:webHidden/>
          </w:rPr>
        </w:r>
        <w:r w:rsidR="00B86DFC">
          <w:rPr>
            <w:noProof/>
            <w:webHidden/>
          </w:rPr>
          <w:fldChar w:fldCharType="separate"/>
        </w:r>
        <w:r>
          <w:rPr>
            <w:noProof/>
            <w:webHidden/>
          </w:rPr>
          <w:t>13</w:t>
        </w:r>
        <w:r w:rsidR="00B86DFC">
          <w:rPr>
            <w:noProof/>
            <w:webHidden/>
          </w:rPr>
          <w:fldChar w:fldCharType="end"/>
        </w:r>
      </w:hyperlink>
    </w:p>
    <w:p w14:paraId="3D8AA716" w14:textId="77777777" w:rsidR="00385301" w:rsidRDefault="004033EA">
      <w:pPr>
        <w:pBdr>
          <w:top w:val="nil"/>
          <w:left w:val="nil"/>
          <w:bottom w:val="nil"/>
          <w:right w:val="nil"/>
          <w:between w:val="nil"/>
        </w:pBdr>
        <w:rPr>
          <w:b/>
          <w:color w:val="000000"/>
          <w:sz w:val="32"/>
          <w:szCs w:val="32"/>
        </w:rPr>
      </w:pPr>
      <w:r>
        <w:rPr>
          <w:b/>
          <w:color w:val="000000"/>
          <w:sz w:val="32"/>
          <w:szCs w:val="32"/>
        </w:rPr>
        <w:fldChar w:fldCharType="end"/>
      </w:r>
    </w:p>
    <w:p w14:paraId="0B38D51B" w14:textId="77777777" w:rsidR="00385301" w:rsidRDefault="00385301">
      <w:pPr>
        <w:pBdr>
          <w:top w:val="nil"/>
          <w:left w:val="nil"/>
          <w:bottom w:val="nil"/>
          <w:right w:val="nil"/>
          <w:between w:val="nil"/>
        </w:pBdr>
        <w:rPr>
          <w:b/>
          <w:color w:val="000000"/>
          <w:sz w:val="32"/>
          <w:szCs w:val="32"/>
        </w:rPr>
      </w:pPr>
    </w:p>
    <w:p w14:paraId="1E5425AE" w14:textId="77777777" w:rsidR="00385301" w:rsidRDefault="00385301" w:rsidP="001B5088">
      <w:pPr>
        <w:pBdr>
          <w:top w:val="nil"/>
          <w:left w:val="nil"/>
          <w:bottom w:val="nil"/>
          <w:right w:val="nil"/>
          <w:between w:val="nil"/>
        </w:pBdr>
        <w:tabs>
          <w:tab w:val="left" w:pos="759"/>
          <w:tab w:val="right" w:pos="9450"/>
        </w:tabs>
        <w:spacing w:before="101"/>
        <w:ind w:left="100"/>
        <w:rPr>
          <w:color w:val="000000"/>
          <w:sz w:val="24"/>
          <w:szCs w:val="24"/>
        </w:rPr>
      </w:pPr>
    </w:p>
    <w:p w14:paraId="1D3658E2" w14:textId="77777777" w:rsidR="00B03F1C" w:rsidRPr="00B03F1C" w:rsidRDefault="00B03F1C" w:rsidP="00B03F1C">
      <w:pPr>
        <w:rPr>
          <w:sz w:val="24"/>
          <w:szCs w:val="24"/>
        </w:rPr>
      </w:pPr>
    </w:p>
    <w:p w14:paraId="48FC9351" w14:textId="77777777" w:rsidR="00B03F1C" w:rsidRDefault="00B03F1C" w:rsidP="00B03F1C">
      <w:pPr>
        <w:tabs>
          <w:tab w:val="left" w:pos="5175"/>
        </w:tabs>
        <w:rPr>
          <w:color w:val="000000"/>
          <w:sz w:val="24"/>
          <w:szCs w:val="24"/>
        </w:rPr>
      </w:pPr>
      <w:r>
        <w:rPr>
          <w:lang w:val="fr-CA"/>
        </w:rPr>
        <w:tab/>
      </w:r>
    </w:p>
    <w:p w14:paraId="1CAC73A1" w14:textId="77777777" w:rsidR="00B03F1C" w:rsidRDefault="00B03F1C" w:rsidP="00B03F1C">
      <w:pPr>
        <w:rPr>
          <w:color w:val="000000"/>
          <w:sz w:val="24"/>
          <w:szCs w:val="24"/>
        </w:rPr>
      </w:pPr>
    </w:p>
    <w:p w14:paraId="1EDC9BDE" w14:textId="77777777" w:rsidR="00B03F1C" w:rsidRPr="00B03F1C" w:rsidRDefault="00B03F1C" w:rsidP="00B03F1C">
      <w:pPr>
        <w:rPr>
          <w:sz w:val="24"/>
          <w:szCs w:val="24"/>
        </w:rPr>
        <w:sectPr w:rsidR="00B03F1C" w:rsidRPr="00B03F1C">
          <w:pgSz w:w="12240" w:h="15840"/>
          <w:pgMar w:top="1000" w:right="1320" w:bottom="280" w:left="1340" w:header="713" w:footer="0" w:gutter="0"/>
          <w:cols w:space="720" w:equalWidth="0">
            <w:col w:w="9360"/>
          </w:cols>
        </w:sectPr>
      </w:pPr>
    </w:p>
    <w:p w14:paraId="105445DB" w14:textId="77777777" w:rsidR="00385301" w:rsidRPr="00F736F1" w:rsidRDefault="00882D31" w:rsidP="00004F1B">
      <w:pPr>
        <w:pStyle w:val="URRCHeading1"/>
      </w:pPr>
      <w:bookmarkStart w:id="2" w:name="_heading=h.3znysh7" w:colFirst="0" w:colLast="0"/>
      <w:bookmarkStart w:id="3" w:name="bookmark=id.1fob9te" w:colFirst="0" w:colLast="0"/>
      <w:bookmarkStart w:id="4" w:name="_Toc84252925"/>
      <w:bookmarkEnd w:id="2"/>
      <w:bookmarkEnd w:id="3"/>
      <w:r>
        <w:rPr>
          <w:bCs/>
          <w:lang w:val="fr-CA"/>
        </w:rPr>
        <w:lastRenderedPageBreak/>
        <w:t>CONTEXTE</w:t>
      </w:r>
      <w:bookmarkEnd w:id="4"/>
    </w:p>
    <w:p w14:paraId="0C088A80" w14:textId="77777777" w:rsidR="00385301" w:rsidRDefault="00385301">
      <w:pPr>
        <w:pBdr>
          <w:top w:val="nil"/>
          <w:left w:val="nil"/>
          <w:bottom w:val="nil"/>
          <w:right w:val="nil"/>
          <w:between w:val="nil"/>
        </w:pBdr>
        <w:spacing w:before="7"/>
        <w:rPr>
          <w:b/>
          <w:color w:val="000000"/>
          <w:sz w:val="23"/>
          <w:szCs w:val="23"/>
        </w:rPr>
      </w:pPr>
    </w:p>
    <w:p w14:paraId="3EB5FCDC" w14:textId="4DA719B9" w:rsidR="00385301" w:rsidRPr="003040BC" w:rsidRDefault="00882D31" w:rsidP="003040BC">
      <w:pPr>
        <w:numPr>
          <w:ilvl w:val="2"/>
          <w:numId w:val="4"/>
        </w:numPr>
        <w:pBdr>
          <w:top w:val="nil"/>
          <w:left w:val="nil"/>
          <w:bottom w:val="nil"/>
          <w:right w:val="nil"/>
          <w:between w:val="nil"/>
        </w:pBdr>
        <w:tabs>
          <w:tab w:val="left" w:pos="885"/>
        </w:tabs>
        <w:spacing w:line="360" w:lineRule="auto"/>
        <w:ind w:right="116"/>
        <w:jc w:val="both"/>
        <w:rPr>
          <w:color w:val="000000"/>
          <w:sz w:val="24"/>
          <w:szCs w:val="24"/>
        </w:rPr>
      </w:pPr>
      <w:r>
        <w:rPr>
          <w:color w:val="000000"/>
          <w:sz w:val="24"/>
          <w:szCs w:val="24"/>
          <w:lang w:val="fr-CA"/>
        </w:rPr>
        <w:t>La Société d’énergie Qulliq (</w:t>
      </w:r>
      <w:proofErr w:type="spellStart"/>
      <w:r>
        <w:rPr>
          <w:color w:val="000000"/>
          <w:sz w:val="24"/>
          <w:szCs w:val="24"/>
          <w:lang w:val="fr-CA"/>
        </w:rPr>
        <w:t>SÉQ</w:t>
      </w:r>
      <w:proofErr w:type="spellEnd"/>
      <w:r>
        <w:rPr>
          <w:color w:val="000000"/>
          <w:sz w:val="24"/>
          <w:szCs w:val="24"/>
          <w:lang w:val="fr-CA"/>
        </w:rPr>
        <w:t xml:space="preserve">), à titre d’entreprise de service désignée, est tenue, conformément au paragraphe 18.1 de la </w:t>
      </w:r>
      <w:r w:rsidRPr="004A1BF6">
        <w:rPr>
          <w:i/>
          <w:iCs/>
          <w:color w:val="000000"/>
          <w:sz w:val="24"/>
          <w:szCs w:val="24"/>
          <w:lang w:val="fr-CA"/>
        </w:rPr>
        <w:t>Loi sur la Société d’énergie Qulliq</w:t>
      </w:r>
      <w:r>
        <w:rPr>
          <w:color w:val="000000"/>
          <w:sz w:val="24"/>
          <w:szCs w:val="24"/>
          <w:lang w:val="fr-CA"/>
        </w:rPr>
        <w:t xml:space="preserve"> (</w:t>
      </w:r>
      <w:r w:rsidR="00B86DFC">
        <w:rPr>
          <w:color w:val="000000"/>
          <w:sz w:val="24"/>
          <w:szCs w:val="24"/>
          <w:lang w:val="fr-CA"/>
        </w:rPr>
        <w:t>la « Loi </w:t>
      </w:r>
      <w:proofErr w:type="spellStart"/>
      <w:r>
        <w:rPr>
          <w:color w:val="000000"/>
          <w:sz w:val="24"/>
          <w:szCs w:val="24"/>
          <w:lang w:val="fr-CA"/>
        </w:rPr>
        <w:t>SÉQ</w:t>
      </w:r>
      <w:proofErr w:type="spellEnd"/>
      <w:r>
        <w:rPr>
          <w:color w:val="000000"/>
          <w:sz w:val="24"/>
          <w:szCs w:val="24"/>
          <w:lang w:val="fr-CA"/>
        </w:rPr>
        <w:t xml:space="preserve"> ») de demander l’approbation du ministre responsable avant d’entreprendre un projet d’immobilisation majeur. À cet effet, ce paragraphe de la Loi </w:t>
      </w:r>
      <w:proofErr w:type="spellStart"/>
      <w:r>
        <w:rPr>
          <w:color w:val="000000"/>
          <w:sz w:val="24"/>
          <w:szCs w:val="24"/>
          <w:lang w:val="fr-CA"/>
        </w:rPr>
        <w:t>SÉQ</w:t>
      </w:r>
      <w:proofErr w:type="spellEnd"/>
      <w:r>
        <w:rPr>
          <w:color w:val="000000"/>
          <w:sz w:val="24"/>
          <w:szCs w:val="24"/>
          <w:lang w:val="fr-CA"/>
        </w:rPr>
        <w:t xml:space="preserve"> comporte les éléments suivants :</w:t>
      </w:r>
    </w:p>
    <w:p w14:paraId="66B24BC7" w14:textId="77777777" w:rsidR="00385301" w:rsidRPr="004A1BF6" w:rsidRDefault="00385301">
      <w:pPr>
        <w:pBdr>
          <w:top w:val="nil"/>
          <w:left w:val="nil"/>
          <w:bottom w:val="nil"/>
          <w:right w:val="nil"/>
          <w:between w:val="nil"/>
        </w:pBdr>
        <w:spacing w:before="9"/>
        <w:rPr>
          <w:color w:val="000000"/>
          <w:sz w:val="8"/>
          <w:szCs w:val="8"/>
        </w:rPr>
      </w:pPr>
    </w:p>
    <w:p w14:paraId="6111F28C" w14:textId="77777777" w:rsidR="00385301" w:rsidRDefault="00882D31">
      <w:pPr>
        <w:pBdr>
          <w:top w:val="nil"/>
          <w:left w:val="nil"/>
          <w:bottom w:val="nil"/>
          <w:right w:val="nil"/>
          <w:between w:val="nil"/>
        </w:pBdr>
        <w:ind w:left="1540"/>
        <w:rPr>
          <w:color w:val="000000"/>
          <w:sz w:val="24"/>
          <w:szCs w:val="24"/>
        </w:rPr>
      </w:pPr>
      <w:r>
        <w:rPr>
          <w:color w:val="000000"/>
          <w:sz w:val="24"/>
          <w:szCs w:val="24"/>
          <w:lang w:val="fr-CA"/>
        </w:rPr>
        <w:t>Définition</w:t>
      </w:r>
    </w:p>
    <w:p w14:paraId="0892DC39" w14:textId="4234BF6B" w:rsidR="00385301" w:rsidRDefault="00882D31" w:rsidP="006A12F4">
      <w:pPr>
        <w:numPr>
          <w:ilvl w:val="2"/>
          <w:numId w:val="2"/>
        </w:numPr>
        <w:pBdr>
          <w:top w:val="nil"/>
          <w:left w:val="nil"/>
          <w:bottom w:val="nil"/>
          <w:right w:val="nil"/>
          <w:between w:val="nil"/>
        </w:pBdr>
        <w:tabs>
          <w:tab w:val="left" w:pos="1953"/>
        </w:tabs>
        <w:ind w:right="116" w:hanging="10"/>
        <w:rPr>
          <w:color w:val="000000"/>
          <w:sz w:val="24"/>
          <w:szCs w:val="24"/>
        </w:rPr>
      </w:pPr>
      <w:r>
        <w:rPr>
          <w:color w:val="000000"/>
          <w:sz w:val="24"/>
          <w:szCs w:val="24"/>
          <w:lang w:val="fr-CA"/>
        </w:rPr>
        <w:t xml:space="preserve">Pour l’application du présent article, « projet d’immobilisations majeur » s’entend d’un projet d’immobilisations dont le coût total s’élève à plus de </w:t>
      </w:r>
      <w:r w:rsidR="00B86DFC">
        <w:rPr>
          <w:color w:val="000000"/>
          <w:sz w:val="24"/>
          <w:szCs w:val="24"/>
          <w:lang w:val="fr-CA"/>
        </w:rPr>
        <w:t>5 000 </w:t>
      </w:r>
      <w:r>
        <w:rPr>
          <w:color w:val="000000"/>
          <w:sz w:val="24"/>
          <w:szCs w:val="24"/>
          <w:lang w:val="fr-CA"/>
        </w:rPr>
        <w:t>000 $.</w:t>
      </w:r>
    </w:p>
    <w:p w14:paraId="051737C0" w14:textId="77777777" w:rsidR="00385301" w:rsidRPr="004A1BF6" w:rsidRDefault="00385301">
      <w:pPr>
        <w:pBdr>
          <w:top w:val="nil"/>
          <w:left w:val="nil"/>
          <w:bottom w:val="nil"/>
          <w:right w:val="nil"/>
          <w:between w:val="nil"/>
        </w:pBdr>
        <w:rPr>
          <w:color w:val="000000"/>
          <w:sz w:val="8"/>
          <w:szCs w:val="8"/>
        </w:rPr>
      </w:pPr>
    </w:p>
    <w:p w14:paraId="66C26756" w14:textId="77777777" w:rsidR="00385301" w:rsidRDefault="00882D31">
      <w:pPr>
        <w:pBdr>
          <w:top w:val="nil"/>
          <w:left w:val="nil"/>
          <w:bottom w:val="nil"/>
          <w:right w:val="nil"/>
          <w:between w:val="nil"/>
        </w:pBdr>
        <w:ind w:left="1540"/>
        <w:rPr>
          <w:color w:val="000000"/>
          <w:sz w:val="24"/>
          <w:szCs w:val="24"/>
        </w:rPr>
      </w:pPr>
      <w:r>
        <w:rPr>
          <w:color w:val="000000"/>
          <w:sz w:val="24"/>
          <w:szCs w:val="24"/>
          <w:lang w:val="fr-CA"/>
        </w:rPr>
        <w:t>Projet d’immobilisations majeur</w:t>
      </w:r>
    </w:p>
    <w:p w14:paraId="4B033CFC" w14:textId="77777777" w:rsidR="00385301" w:rsidRDefault="00882D31">
      <w:pPr>
        <w:numPr>
          <w:ilvl w:val="2"/>
          <w:numId w:val="2"/>
        </w:numPr>
        <w:pBdr>
          <w:top w:val="nil"/>
          <w:left w:val="nil"/>
          <w:bottom w:val="nil"/>
          <w:right w:val="nil"/>
          <w:between w:val="nil"/>
        </w:pBdr>
        <w:tabs>
          <w:tab w:val="left" w:pos="1927"/>
        </w:tabs>
        <w:ind w:right="120" w:firstLine="0"/>
        <w:jc w:val="both"/>
        <w:rPr>
          <w:color w:val="000000"/>
          <w:sz w:val="24"/>
          <w:szCs w:val="24"/>
        </w:rPr>
      </w:pPr>
      <w:r>
        <w:rPr>
          <w:color w:val="000000"/>
          <w:sz w:val="24"/>
          <w:szCs w:val="24"/>
          <w:lang w:val="fr-CA"/>
        </w:rPr>
        <w:t>La Société ne peut entreprendre ni permettre à l’une de ses filiales d’entreprendre un projet d’immobilisations majeur, à moins d’avoir préalablement demandé au ministre de prendre un arrêté lui en accordant l’autorisation.</w:t>
      </w:r>
    </w:p>
    <w:p w14:paraId="56477B38" w14:textId="77777777" w:rsidR="00385301" w:rsidRPr="004A1BF6" w:rsidRDefault="00385301">
      <w:pPr>
        <w:pBdr>
          <w:top w:val="nil"/>
          <w:left w:val="nil"/>
          <w:bottom w:val="nil"/>
          <w:right w:val="nil"/>
          <w:between w:val="nil"/>
        </w:pBdr>
        <w:spacing w:before="9"/>
        <w:rPr>
          <w:color w:val="000000"/>
          <w:sz w:val="8"/>
          <w:szCs w:val="8"/>
        </w:rPr>
      </w:pPr>
    </w:p>
    <w:p w14:paraId="0F4EEDDC" w14:textId="77777777" w:rsidR="00385301" w:rsidRDefault="00882D31">
      <w:pPr>
        <w:pBdr>
          <w:top w:val="nil"/>
          <w:left w:val="nil"/>
          <w:bottom w:val="nil"/>
          <w:right w:val="nil"/>
          <w:between w:val="nil"/>
        </w:pBdr>
        <w:ind w:left="1540"/>
        <w:rPr>
          <w:color w:val="000000"/>
          <w:sz w:val="24"/>
          <w:szCs w:val="24"/>
        </w:rPr>
      </w:pPr>
      <w:r>
        <w:rPr>
          <w:color w:val="000000"/>
          <w:sz w:val="24"/>
          <w:szCs w:val="24"/>
          <w:lang w:val="fr-CA"/>
        </w:rPr>
        <w:t>Demande d’avis</w:t>
      </w:r>
    </w:p>
    <w:p w14:paraId="6207D495" w14:textId="2B89F559" w:rsidR="00385301" w:rsidRDefault="00882D31">
      <w:pPr>
        <w:numPr>
          <w:ilvl w:val="2"/>
          <w:numId w:val="2"/>
        </w:numPr>
        <w:pBdr>
          <w:top w:val="nil"/>
          <w:left w:val="nil"/>
          <w:bottom w:val="nil"/>
          <w:right w:val="nil"/>
          <w:between w:val="nil"/>
        </w:pBdr>
        <w:tabs>
          <w:tab w:val="left" w:pos="1881"/>
        </w:tabs>
        <w:ind w:right="116" w:firstLine="0"/>
        <w:jc w:val="both"/>
        <w:rPr>
          <w:color w:val="000000"/>
          <w:sz w:val="24"/>
          <w:szCs w:val="24"/>
        </w:rPr>
      </w:pPr>
      <w:r>
        <w:rPr>
          <w:color w:val="000000"/>
          <w:sz w:val="24"/>
          <w:szCs w:val="24"/>
          <w:lang w:val="fr-CA"/>
        </w:rPr>
        <w:t>Avant de rendre sa décision relativement à la demande d’autorisation visée au paragraphe (2), le ministre peut demander l’avis du Conseil d’examen des taux des entreprises de service</w:t>
      </w:r>
      <w:r w:rsidR="00954B7B">
        <w:rPr>
          <w:color w:val="000000"/>
          <w:sz w:val="24"/>
          <w:szCs w:val="24"/>
          <w:lang w:val="fr-CA"/>
        </w:rPr>
        <w:t>s</w:t>
      </w:r>
      <w:r>
        <w:rPr>
          <w:color w:val="000000"/>
          <w:sz w:val="24"/>
          <w:szCs w:val="24"/>
          <w:lang w:val="fr-CA"/>
        </w:rPr>
        <w:t xml:space="preserve">, constitué sous le régime de la </w:t>
      </w:r>
      <w:r>
        <w:rPr>
          <w:i/>
          <w:iCs/>
          <w:color w:val="000000"/>
          <w:sz w:val="24"/>
          <w:szCs w:val="24"/>
          <w:lang w:val="fr-CA"/>
        </w:rPr>
        <w:t xml:space="preserve">Loi sur le </w:t>
      </w:r>
      <w:r w:rsidR="00DF79E0">
        <w:rPr>
          <w:i/>
          <w:iCs/>
          <w:color w:val="000000"/>
          <w:sz w:val="24"/>
          <w:szCs w:val="24"/>
          <w:lang w:val="fr-CA"/>
        </w:rPr>
        <w:t xml:space="preserve">conseil </w:t>
      </w:r>
      <w:r>
        <w:rPr>
          <w:i/>
          <w:iCs/>
          <w:color w:val="000000"/>
          <w:sz w:val="24"/>
          <w:szCs w:val="24"/>
          <w:lang w:val="fr-CA"/>
        </w:rPr>
        <w:t>d’examen des taux des entreprises de service</w:t>
      </w:r>
      <w:r>
        <w:rPr>
          <w:color w:val="000000"/>
          <w:sz w:val="24"/>
          <w:szCs w:val="24"/>
          <w:lang w:val="fr-CA"/>
        </w:rPr>
        <w:t>.</w:t>
      </w:r>
    </w:p>
    <w:p w14:paraId="617332CA" w14:textId="77777777" w:rsidR="00385301" w:rsidRPr="004A1BF6" w:rsidRDefault="00385301">
      <w:pPr>
        <w:pBdr>
          <w:top w:val="nil"/>
          <w:left w:val="nil"/>
          <w:bottom w:val="nil"/>
          <w:right w:val="nil"/>
          <w:between w:val="nil"/>
        </w:pBdr>
        <w:rPr>
          <w:color w:val="000000"/>
          <w:sz w:val="8"/>
          <w:szCs w:val="8"/>
        </w:rPr>
      </w:pPr>
    </w:p>
    <w:p w14:paraId="1B706758" w14:textId="77777777" w:rsidR="00385301" w:rsidRDefault="00882D31">
      <w:pPr>
        <w:pBdr>
          <w:top w:val="nil"/>
          <w:left w:val="nil"/>
          <w:bottom w:val="nil"/>
          <w:right w:val="nil"/>
          <w:between w:val="nil"/>
        </w:pBdr>
        <w:ind w:left="1540"/>
        <w:rPr>
          <w:color w:val="000000"/>
          <w:sz w:val="24"/>
          <w:szCs w:val="24"/>
        </w:rPr>
      </w:pPr>
      <w:r>
        <w:rPr>
          <w:color w:val="000000"/>
          <w:sz w:val="24"/>
          <w:szCs w:val="24"/>
          <w:lang w:val="fr-CA"/>
        </w:rPr>
        <w:t>Remise de renseignements</w:t>
      </w:r>
    </w:p>
    <w:p w14:paraId="42396D64" w14:textId="669617FE" w:rsidR="00385301" w:rsidRDefault="00882D31">
      <w:pPr>
        <w:numPr>
          <w:ilvl w:val="2"/>
          <w:numId w:val="2"/>
        </w:numPr>
        <w:pBdr>
          <w:top w:val="nil"/>
          <w:left w:val="nil"/>
          <w:bottom w:val="nil"/>
          <w:right w:val="nil"/>
          <w:between w:val="nil"/>
        </w:pBdr>
        <w:tabs>
          <w:tab w:val="left" w:pos="1879"/>
        </w:tabs>
        <w:ind w:right="120" w:firstLine="0"/>
        <w:rPr>
          <w:color w:val="000000"/>
          <w:sz w:val="24"/>
          <w:szCs w:val="24"/>
        </w:rPr>
      </w:pPr>
      <w:r>
        <w:rPr>
          <w:color w:val="000000"/>
          <w:sz w:val="24"/>
          <w:szCs w:val="24"/>
          <w:lang w:val="fr-CA"/>
        </w:rPr>
        <w:t>La Société fournit au ministre et au Conseil d’examen des taux des entreprises de service</w:t>
      </w:r>
      <w:r w:rsidR="00954B7B">
        <w:rPr>
          <w:color w:val="000000"/>
          <w:sz w:val="24"/>
          <w:szCs w:val="24"/>
          <w:lang w:val="fr-CA"/>
        </w:rPr>
        <w:t>s</w:t>
      </w:r>
      <w:r>
        <w:rPr>
          <w:color w:val="000000"/>
          <w:sz w:val="24"/>
          <w:szCs w:val="24"/>
          <w:lang w:val="fr-CA"/>
        </w:rPr>
        <w:t xml:space="preserve"> les renseignements nécessaires pour permettre au ministre de décider si l’autorisation devrait être accordée ou non.</w:t>
      </w:r>
    </w:p>
    <w:p w14:paraId="302667AD" w14:textId="77777777" w:rsidR="00385301" w:rsidRPr="004A1BF6" w:rsidRDefault="00385301">
      <w:pPr>
        <w:pBdr>
          <w:top w:val="nil"/>
          <w:left w:val="nil"/>
          <w:bottom w:val="nil"/>
          <w:right w:val="nil"/>
          <w:between w:val="nil"/>
        </w:pBdr>
        <w:rPr>
          <w:color w:val="000000"/>
          <w:sz w:val="10"/>
          <w:szCs w:val="10"/>
        </w:rPr>
      </w:pPr>
    </w:p>
    <w:p w14:paraId="4C64233A" w14:textId="77777777" w:rsidR="00385301" w:rsidRDefault="00882D31">
      <w:pPr>
        <w:pBdr>
          <w:top w:val="nil"/>
          <w:left w:val="nil"/>
          <w:bottom w:val="nil"/>
          <w:right w:val="nil"/>
          <w:between w:val="nil"/>
        </w:pBdr>
        <w:ind w:left="1540"/>
        <w:rPr>
          <w:color w:val="000000"/>
          <w:sz w:val="24"/>
          <w:szCs w:val="24"/>
        </w:rPr>
      </w:pPr>
      <w:r>
        <w:rPr>
          <w:color w:val="000000"/>
          <w:sz w:val="24"/>
          <w:szCs w:val="24"/>
          <w:lang w:val="fr-CA"/>
        </w:rPr>
        <w:t>Pouvoirs du ministre</w:t>
      </w:r>
    </w:p>
    <w:p w14:paraId="38A83792" w14:textId="77777777" w:rsidR="00385301" w:rsidRDefault="00882D31">
      <w:pPr>
        <w:numPr>
          <w:ilvl w:val="2"/>
          <w:numId w:val="2"/>
        </w:numPr>
        <w:pBdr>
          <w:top w:val="nil"/>
          <w:left w:val="nil"/>
          <w:bottom w:val="nil"/>
          <w:right w:val="nil"/>
          <w:between w:val="nil"/>
        </w:pBdr>
        <w:tabs>
          <w:tab w:val="left" w:pos="1879"/>
        </w:tabs>
        <w:ind w:left="1878" w:hanging="338"/>
        <w:rPr>
          <w:color w:val="000000"/>
          <w:sz w:val="24"/>
          <w:szCs w:val="24"/>
        </w:rPr>
      </w:pPr>
      <w:r>
        <w:rPr>
          <w:color w:val="000000"/>
          <w:sz w:val="24"/>
          <w:szCs w:val="24"/>
          <w:lang w:val="fr-CA"/>
        </w:rPr>
        <w:t>Le ministre peut :</w:t>
      </w:r>
    </w:p>
    <w:p w14:paraId="2868AB2A" w14:textId="77777777" w:rsidR="00385301" w:rsidRDefault="00882D31" w:rsidP="006A12F4">
      <w:pPr>
        <w:numPr>
          <w:ilvl w:val="0"/>
          <w:numId w:val="6"/>
        </w:numPr>
        <w:pBdr>
          <w:top w:val="nil"/>
          <w:left w:val="nil"/>
          <w:bottom w:val="nil"/>
          <w:right w:val="nil"/>
          <w:between w:val="nil"/>
        </w:pBdr>
        <w:tabs>
          <w:tab w:val="left" w:pos="1867"/>
        </w:tabs>
        <w:ind w:right="1353" w:firstLine="0"/>
        <w:rPr>
          <w:color w:val="000000"/>
          <w:sz w:val="24"/>
          <w:szCs w:val="24"/>
        </w:rPr>
      </w:pPr>
      <w:proofErr w:type="gramStart"/>
      <w:r>
        <w:rPr>
          <w:color w:val="000000"/>
          <w:sz w:val="24"/>
          <w:szCs w:val="24"/>
          <w:lang w:val="fr-CA"/>
        </w:rPr>
        <w:t>soit</w:t>
      </w:r>
      <w:proofErr w:type="gramEnd"/>
      <w:r>
        <w:rPr>
          <w:color w:val="000000"/>
          <w:sz w:val="24"/>
          <w:szCs w:val="24"/>
          <w:lang w:val="fr-CA"/>
        </w:rPr>
        <w:t xml:space="preserve"> accorder l’autorisation d’entreprendre le projet d’immobilisations majeur, avec ou sans condition;</w:t>
      </w:r>
    </w:p>
    <w:p w14:paraId="527B3CE7" w14:textId="77777777" w:rsidR="00385301" w:rsidRDefault="00882D31">
      <w:pPr>
        <w:numPr>
          <w:ilvl w:val="0"/>
          <w:numId w:val="6"/>
        </w:numPr>
        <w:pBdr>
          <w:top w:val="nil"/>
          <w:left w:val="nil"/>
          <w:bottom w:val="nil"/>
          <w:right w:val="nil"/>
          <w:between w:val="nil"/>
        </w:pBdr>
        <w:tabs>
          <w:tab w:val="left" w:pos="1879"/>
        </w:tabs>
        <w:spacing w:before="1"/>
        <w:ind w:left="1878" w:hanging="338"/>
        <w:jc w:val="both"/>
        <w:rPr>
          <w:color w:val="000000"/>
          <w:sz w:val="24"/>
          <w:szCs w:val="24"/>
        </w:rPr>
      </w:pPr>
      <w:proofErr w:type="gramStart"/>
      <w:r>
        <w:rPr>
          <w:color w:val="000000"/>
          <w:sz w:val="24"/>
          <w:szCs w:val="24"/>
          <w:lang w:val="fr-CA"/>
        </w:rPr>
        <w:t>soit</w:t>
      </w:r>
      <w:proofErr w:type="gramEnd"/>
      <w:r>
        <w:rPr>
          <w:color w:val="000000"/>
          <w:sz w:val="24"/>
          <w:szCs w:val="24"/>
          <w:lang w:val="fr-CA"/>
        </w:rPr>
        <w:t xml:space="preserve"> la refuser.</w:t>
      </w:r>
    </w:p>
    <w:p w14:paraId="5CDC512B" w14:textId="77777777" w:rsidR="00385301" w:rsidRPr="004A1BF6" w:rsidRDefault="00385301">
      <w:pPr>
        <w:pBdr>
          <w:top w:val="nil"/>
          <w:left w:val="nil"/>
          <w:bottom w:val="nil"/>
          <w:right w:val="nil"/>
          <w:between w:val="nil"/>
        </w:pBdr>
        <w:spacing w:before="11"/>
        <w:rPr>
          <w:color w:val="000000"/>
          <w:sz w:val="8"/>
          <w:szCs w:val="8"/>
        </w:rPr>
      </w:pPr>
    </w:p>
    <w:p w14:paraId="0B22C401" w14:textId="77777777" w:rsidR="00385301" w:rsidRDefault="00882D31">
      <w:pPr>
        <w:pBdr>
          <w:top w:val="nil"/>
          <w:left w:val="nil"/>
          <w:bottom w:val="nil"/>
          <w:right w:val="nil"/>
          <w:between w:val="nil"/>
        </w:pBdr>
        <w:ind w:left="1540"/>
        <w:rPr>
          <w:color w:val="000000"/>
          <w:sz w:val="24"/>
          <w:szCs w:val="24"/>
        </w:rPr>
      </w:pPr>
      <w:r>
        <w:rPr>
          <w:color w:val="000000"/>
          <w:sz w:val="24"/>
          <w:szCs w:val="24"/>
          <w:lang w:val="fr-CA"/>
        </w:rPr>
        <w:t>Arrêté</w:t>
      </w:r>
    </w:p>
    <w:p w14:paraId="4FC6049F" w14:textId="77777777" w:rsidR="00385301" w:rsidRDefault="00882D31">
      <w:pPr>
        <w:numPr>
          <w:ilvl w:val="2"/>
          <w:numId w:val="2"/>
        </w:numPr>
        <w:pBdr>
          <w:top w:val="nil"/>
          <w:left w:val="nil"/>
          <w:bottom w:val="nil"/>
          <w:right w:val="nil"/>
          <w:between w:val="nil"/>
        </w:pBdr>
        <w:tabs>
          <w:tab w:val="left" w:pos="1884"/>
        </w:tabs>
        <w:ind w:right="119" w:firstLine="0"/>
        <w:rPr>
          <w:color w:val="000000"/>
          <w:sz w:val="24"/>
          <w:szCs w:val="24"/>
        </w:rPr>
      </w:pPr>
      <w:r>
        <w:rPr>
          <w:color w:val="000000"/>
          <w:sz w:val="24"/>
          <w:szCs w:val="24"/>
          <w:lang w:val="fr-CA"/>
        </w:rPr>
        <w:t>L’autorisation accordée par le ministre aux termes de l’alinéa 5(a) est donnée sous forme d’arrêté.</w:t>
      </w:r>
    </w:p>
    <w:p w14:paraId="7AAC32AE" w14:textId="77777777" w:rsidR="00385301" w:rsidRPr="004A1BF6" w:rsidRDefault="00385301">
      <w:pPr>
        <w:pBdr>
          <w:top w:val="nil"/>
          <w:left w:val="nil"/>
          <w:bottom w:val="nil"/>
          <w:right w:val="nil"/>
          <w:between w:val="nil"/>
        </w:pBdr>
        <w:spacing w:before="4"/>
        <w:rPr>
          <w:color w:val="000000"/>
        </w:rPr>
      </w:pPr>
    </w:p>
    <w:p w14:paraId="3B214522" w14:textId="0FE8D36E" w:rsidR="00385301" w:rsidRDefault="00882D31">
      <w:pPr>
        <w:numPr>
          <w:ilvl w:val="2"/>
          <w:numId w:val="4"/>
        </w:numPr>
        <w:pBdr>
          <w:top w:val="nil"/>
          <w:left w:val="nil"/>
          <w:bottom w:val="nil"/>
          <w:right w:val="nil"/>
          <w:between w:val="nil"/>
        </w:pBdr>
        <w:tabs>
          <w:tab w:val="left" w:pos="885"/>
        </w:tabs>
        <w:spacing w:line="360" w:lineRule="auto"/>
        <w:ind w:right="116"/>
        <w:jc w:val="both"/>
        <w:rPr>
          <w:color w:val="000000"/>
          <w:sz w:val="24"/>
          <w:szCs w:val="24"/>
        </w:rPr>
      </w:pPr>
      <w:r>
        <w:rPr>
          <w:color w:val="000000"/>
          <w:sz w:val="24"/>
          <w:szCs w:val="24"/>
          <w:lang w:val="fr-CA"/>
        </w:rPr>
        <w:t xml:space="preserve">Le paragraphe 7(e) de la </w:t>
      </w:r>
      <w:r>
        <w:rPr>
          <w:i/>
          <w:iCs/>
          <w:color w:val="000000"/>
          <w:sz w:val="24"/>
          <w:szCs w:val="24"/>
          <w:lang w:val="fr-CA"/>
        </w:rPr>
        <w:t xml:space="preserve">Loi sur le </w:t>
      </w:r>
      <w:r w:rsidR="00DF79E0">
        <w:rPr>
          <w:i/>
          <w:iCs/>
          <w:sz w:val="24"/>
          <w:szCs w:val="24"/>
          <w:lang w:val="fr-CA"/>
        </w:rPr>
        <w:t xml:space="preserve">conseil </w:t>
      </w:r>
      <w:r>
        <w:rPr>
          <w:i/>
          <w:iCs/>
          <w:sz w:val="24"/>
          <w:szCs w:val="24"/>
          <w:lang w:val="fr-CA"/>
        </w:rPr>
        <w:t>d’examen</w:t>
      </w:r>
      <w:r>
        <w:rPr>
          <w:i/>
          <w:iCs/>
          <w:color w:val="000000"/>
          <w:sz w:val="24"/>
          <w:szCs w:val="24"/>
          <w:lang w:val="fr-CA"/>
        </w:rPr>
        <w:t xml:space="preserve"> des taux des entreprises de service</w:t>
      </w:r>
      <w:r>
        <w:rPr>
          <w:color w:val="000000"/>
          <w:sz w:val="24"/>
          <w:szCs w:val="24"/>
          <w:lang w:val="fr-CA"/>
        </w:rPr>
        <w:t xml:space="preserve"> stipule que le </w:t>
      </w:r>
      <w:proofErr w:type="spellStart"/>
      <w:r>
        <w:rPr>
          <w:color w:val="000000"/>
          <w:sz w:val="24"/>
          <w:szCs w:val="24"/>
          <w:lang w:val="fr-CA"/>
        </w:rPr>
        <w:t>CETES</w:t>
      </w:r>
      <w:proofErr w:type="spellEnd"/>
      <w:r>
        <w:rPr>
          <w:color w:val="000000"/>
          <w:sz w:val="24"/>
          <w:szCs w:val="24"/>
          <w:lang w:val="fr-CA"/>
        </w:rPr>
        <w:t xml:space="preserve"> doit, entre autres, fournir des conseils au ministre responsable de la Société d’énergie Qulliq concernant les demandes d’autorisation de projets d’immobilisations majeurs en vertu du paragraphe 18.1 de la </w:t>
      </w:r>
      <w:r>
        <w:rPr>
          <w:i/>
          <w:iCs/>
          <w:color w:val="000000"/>
          <w:sz w:val="24"/>
          <w:szCs w:val="24"/>
          <w:lang w:val="fr-CA"/>
        </w:rPr>
        <w:t>Loi sur la Société d’énergie Qulliq</w:t>
      </w:r>
      <w:r>
        <w:rPr>
          <w:color w:val="000000"/>
          <w:sz w:val="24"/>
          <w:szCs w:val="24"/>
          <w:lang w:val="fr-CA"/>
        </w:rPr>
        <w:t>.</w:t>
      </w:r>
    </w:p>
    <w:p w14:paraId="0665F003" w14:textId="77777777" w:rsidR="00385301" w:rsidRDefault="00385301">
      <w:pPr>
        <w:spacing w:line="360" w:lineRule="auto"/>
        <w:jc w:val="both"/>
        <w:rPr>
          <w:sz w:val="24"/>
          <w:szCs w:val="24"/>
        </w:rPr>
        <w:sectPr w:rsidR="00385301" w:rsidSect="00F24A93">
          <w:footerReference w:type="default" r:id="rId19"/>
          <w:pgSz w:w="12240" w:h="15840" w:code="1"/>
          <w:pgMar w:top="1440" w:right="1310" w:bottom="1138" w:left="1310" w:header="720" w:footer="720" w:gutter="0"/>
          <w:pgNumType w:start="1"/>
          <w:cols w:space="720" w:equalWidth="0">
            <w:col w:w="9370"/>
          </w:cols>
        </w:sectPr>
      </w:pPr>
    </w:p>
    <w:p w14:paraId="0FB56195" w14:textId="77777777" w:rsidR="00385301" w:rsidRDefault="00385301">
      <w:pPr>
        <w:pBdr>
          <w:top w:val="nil"/>
          <w:left w:val="nil"/>
          <w:bottom w:val="nil"/>
          <w:right w:val="nil"/>
          <w:between w:val="nil"/>
        </w:pBdr>
        <w:rPr>
          <w:color w:val="000000"/>
          <w:sz w:val="20"/>
          <w:szCs w:val="20"/>
        </w:rPr>
      </w:pPr>
    </w:p>
    <w:p w14:paraId="3C6D5756" w14:textId="77777777" w:rsidR="00385301" w:rsidRDefault="00385301">
      <w:pPr>
        <w:pBdr>
          <w:top w:val="nil"/>
          <w:left w:val="nil"/>
          <w:bottom w:val="nil"/>
          <w:right w:val="nil"/>
          <w:between w:val="nil"/>
        </w:pBdr>
        <w:rPr>
          <w:color w:val="000000"/>
          <w:sz w:val="20"/>
          <w:szCs w:val="20"/>
        </w:rPr>
      </w:pPr>
    </w:p>
    <w:p w14:paraId="49BC5FA6" w14:textId="77777777" w:rsidR="00385301" w:rsidRDefault="00882D31">
      <w:pPr>
        <w:numPr>
          <w:ilvl w:val="2"/>
          <w:numId w:val="4"/>
        </w:numPr>
        <w:pBdr>
          <w:top w:val="nil"/>
          <w:left w:val="nil"/>
          <w:bottom w:val="nil"/>
          <w:right w:val="nil"/>
          <w:between w:val="nil"/>
        </w:pBdr>
        <w:tabs>
          <w:tab w:val="left" w:pos="885"/>
        </w:tabs>
        <w:spacing w:before="90" w:line="360" w:lineRule="auto"/>
        <w:ind w:right="115"/>
        <w:jc w:val="both"/>
        <w:rPr>
          <w:color w:val="000000"/>
          <w:sz w:val="24"/>
          <w:szCs w:val="24"/>
        </w:rPr>
      </w:pPr>
      <w:r>
        <w:rPr>
          <w:color w:val="000000"/>
          <w:sz w:val="24"/>
          <w:szCs w:val="24"/>
          <w:lang w:val="fr-CA"/>
        </w:rPr>
        <w:t xml:space="preserve">Le 8 novembre 2019, la </w:t>
      </w:r>
      <w:proofErr w:type="spellStart"/>
      <w:r>
        <w:rPr>
          <w:color w:val="000000"/>
          <w:sz w:val="24"/>
          <w:szCs w:val="24"/>
          <w:lang w:val="fr-CA"/>
        </w:rPr>
        <w:t>SÉQ</w:t>
      </w:r>
      <w:proofErr w:type="spellEnd"/>
      <w:r>
        <w:rPr>
          <w:color w:val="000000"/>
          <w:sz w:val="24"/>
          <w:szCs w:val="24"/>
          <w:lang w:val="fr-CA"/>
        </w:rPr>
        <w:t xml:space="preserve"> a demandé au ministre d’approuver un permis de projet d’immobilisations majeur concernant une nouvelle centrale électrique dans la collectivité d’</w:t>
      </w:r>
      <w:proofErr w:type="spellStart"/>
      <w:r>
        <w:rPr>
          <w:color w:val="000000"/>
          <w:sz w:val="24"/>
          <w:szCs w:val="24"/>
          <w:lang w:val="fr-CA"/>
        </w:rPr>
        <w:t>Arctic</w:t>
      </w:r>
      <w:proofErr w:type="spellEnd"/>
      <w:r>
        <w:rPr>
          <w:color w:val="000000"/>
          <w:sz w:val="24"/>
          <w:szCs w:val="24"/>
          <w:lang w:val="fr-CA"/>
        </w:rPr>
        <w:t xml:space="preserve"> Bay (la demande). Le 13 novembre 2019, le</w:t>
      </w:r>
      <w:r>
        <w:rPr>
          <w:sz w:val="24"/>
          <w:szCs w:val="24"/>
          <w:lang w:val="fr-CA"/>
        </w:rPr>
        <w:t xml:space="preserve"> </w:t>
      </w:r>
      <w:r>
        <w:rPr>
          <w:color w:val="000000"/>
          <w:sz w:val="24"/>
          <w:szCs w:val="24"/>
          <w:lang w:val="fr-CA"/>
        </w:rPr>
        <w:t xml:space="preserve">ministre a demandé les conseils du </w:t>
      </w:r>
      <w:proofErr w:type="spellStart"/>
      <w:r>
        <w:rPr>
          <w:color w:val="000000"/>
          <w:sz w:val="24"/>
          <w:szCs w:val="24"/>
          <w:lang w:val="fr-CA"/>
        </w:rPr>
        <w:t>CETES</w:t>
      </w:r>
      <w:proofErr w:type="spellEnd"/>
      <w:r>
        <w:rPr>
          <w:color w:val="000000"/>
          <w:sz w:val="24"/>
          <w:szCs w:val="24"/>
          <w:lang w:val="fr-CA"/>
        </w:rPr>
        <w:t xml:space="preserve"> à propos de la demande de la </w:t>
      </w:r>
      <w:proofErr w:type="spellStart"/>
      <w:r>
        <w:rPr>
          <w:color w:val="000000"/>
          <w:sz w:val="24"/>
          <w:szCs w:val="24"/>
          <w:lang w:val="fr-CA"/>
        </w:rPr>
        <w:t>SÉQ</w:t>
      </w:r>
      <w:proofErr w:type="spellEnd"/>
      <w:r>
        <w:rPr>
          <w:color w:val="000000"/>
          <w:sz w:val="24"/>
          <w:szCs w:val="24"/>
          <w:lang w:val="fr-CA"/>
        </w:rPr>
        <w:t xml:space="preserve">. Le présent rapport fait état des résultats de l’examen de ce dossier effectué par le </w:t>
      </w:r>
      <w:proofErr w:type="spellStart"/>
      <w:r>
        <w:rPr>
          <w:color w:val="000000"/>
          <w:sz w:val="24"/>
          <w:szCs w:val="24"/>
          <w:lang w:val="fr-CA"/>
        </w:rPr>
        <w:t>CETES</w:t>
      </w:r>
      <w:proofErr w:type="spellEnd"/>
      <w:r>
        <w:rPr>
          <w:color w:val="000000"/>
          <w:sz w:val="24"/>
          <w:szCs w:val="24"/>
          <w:lang w:val="fr-CA"/>
        </w:rPr>
        <w:t>.</w:t>
      </w:r>
    </w:p>
    <w:p w14:paraId="5AAE423D" w14:textId="77777777" w:rsidR="00385301" w:rsidRDefault="00385301">
      <w:pPr>
        <w:spacing w:line="360" w:lineRule="auto"/>
        <w:jc w:val="both"/>
        <w:rPr>
          <w:sz w:val="24"/>
          <w:szCs w:val="24"/>
        </w:rPr>
        <w:sectPr w:rsidR="00385301" w:rsidSect="00536DDB">
          <w:footerReference w:type="default" r:id="rId20"/>
          <w:pgSz w:w="12240" w:h="15840" w:code="1"/>
          <w:pgMar w:top="1411" w:right="1310" w:bottom="1138" w:left="1310" w:header="720" w:footer="720" w:gutter="0"/>
          <w:cols w:space="720" w:equalWidth="0">
            <w:col w:w="9370"/>
          </w:cols>
        </w:sectPr>
      </w:pPr>
    </w:p>
    <w:p w14:paraId="6A2FFD51" w14:textId="77777777" w:rsidR="00385301" w:rsidRPr="00F736F1" w:rsidRDefault="00882D31" w:rsidP="004033EA">
      <w:pPr>
        <w:pStyle w:val="URRCHeading1"/>
      </w:pPr>
      <w:bookmarkStart w:id="5" w:name="_heading=h.tyjcwt" w:colFirst="0" w:colLast="0"/>
      <w:bookmarkStart w:id="6" w:name="bookmark=id.2et92p0" w:colFirst="0" w:colLast="0"/>
      <w:bookmarkStart w:id="7" w:name="_Toc84252926"/>
      <w:bookmarkEnd w:id="5"/>
      <w:bookmarkEnd w:id="6"/>
      <w:r>
        <w:rPr>
          <w:bCs/>
          <w:lang w:val="fr-CA"/>
        </w:rPr>
        <w:lastRenderedPageBreak/>
        <w:t>DÉTAILS DE LA REQUÊTE</w:t>
      </w:r>
      <w:bookmarkEnd w:id="7"/>
    </w:p>
    <w:p w14:paraId="4E16007D" w14:textId="77777777" w:rsidR="00385301" w:rsidRPr="004033EA" w:rsidRDefault="00385301">
      <w:pPr>
        <w:pBdr>
          <w:top w:val="nil"/>
          <w:left w:val="nil"/>
          <w:bottom w:val="nil"/>
          <w:right w:val="nil"/>
          <w:between w:val="nil"/>
        </w:pBdr>
        <w:spacing w:before="8"/>
        <w:rPr>
          <w:b/>
          <w:color w:val="000000"/>
          <w:sz w:val="24"/>
          <w:szCs w:val="24"/>
        </w:rPr>
      </w:pPr>
    </w:p>
    <w:p w14:paraId="3D1DA31D"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proposait la construction d’une nouvelle centrale électrique dans la collectivité d’</w:t>
      </w:r>
      <w:proofErr w:type="spellStart"/>
      <w:r>
        <w:rPr>
          <w:color w:val="000000"/>
          <w:sz w:val="24"/>
          <w:szCs w:val="24"/>
          <w:lang w:val="fr-CA"/>
        </w:rPr>
        <w:t>Arctic</w:t>
      </w:r>
      <w:proofErr w:type="spellEnd"/>
      <w:r>
        <w:rPr>
          <w:color w:val="000000"/>
          <w:sz w:val="24"/>
          <w:szCs w:val="24"/>
          <w:lang w:val="fr-CA"/>
        </w:rPr>
        <w:t xml:space="preserve"> Bay afin de remplacer la centrale actuelle. Le projet débuterait lors du troisième trimestre de 2019-2020 pour être complété en 2021-2022. </w:t>
      </w:r>
      <w:proofErr w:type="spellStart"/>
      <w:r>
        <w:rPr>
          <w:color w:val="000000"/>
          <w:sz w:val="24"/>
          <w:szCs w:val="24"/>
          <w:lang w:val="fr-CA"/>
        </w:rPr>
        <w:t>Arctic</w:t>
      </w:r>
      <w:proofErr w:type="spellEnd"/>
      <w:r>
        <w:rPr>
          <w:color w:val="000000"/>
          <w:sz w:val="24"/>
          <w:szCs w:val="24"/>
          <w:lang w:val="fr-CA"/>
        </w:rPr>
        <w:t xml:space="preserve"> Bay est l’une des collectivités les plus au nord du territoire servi par la </w:t>
      </w:r>
      <w:proofErr w:type="spellStart"/>
      <w:r>
        <w:rPr>
          <w:color w:val="000000"/>
          <w:sz w:val="24"/>
          <w:szCs w:val="24"/>
          <w:lang w:val="fr-CA"/>
        </w:rPr>
        <w:t>SÉQ</w:t>
      </w:r>
      <w:proofErr w:type="spellEnd"/>
      <w:r>
        <w:rPr>
          <w:color w:val="000000"/>
          <w:sz w:val="24"/>
          <w:szCs w:val="24"/>
          <w:lang w:val="fr-CA"/>
        </w:rPr>
        <w:t xml:space="preserve">, située </w:t>
      </w:r>
      <w:r>
        <w:rPr>
          <w:sz w:val="24"/>
          <w:szCs w:val="24"/>
          <w:lang w:val="fr-CA"/>
        </w:rPr>
        <w:t>sur la péninsule Borden de l’île de Baffin, en Extrême Arctique</w:t>
      </w:r>
      <w:r>
        <w:rPr>
          <w:color w:val="000000"/>
          <w:sz w:val="24"/>
          <w:szCs w:val="24"/>
          <w:lang w:val="fr-CA"/>
        </w:rPr>
        <w:t xml:space="preserve">. La </w:t>
      </w:r>
      <w:proofErr w:type="spellStart"/>
      <w:r>
        <w:rPr>
          <w:color w:val="000000"/>
          <w:sz w:val="24"/>
          <w:szCs w:val="24"/>
          <w:lang w:val="fr-CA"/>
        </w:rPr>
        <w:t>SÉQ</w:t>
      </w:r>
      <w:proofErr w:type="spellEnd"/>
      <w:r>
        <w:rPr>
          <w:color w:val="000000"/>
          <w:sz w:val="24"/>
          <w:szCs w:val="24"/>
          <w:lang w:val="fr-CA"/>
        </w:rPr>
        <w:t xml:space="preserve"> assure un service d’électricité aux résidents du hameau d’</w:t>
      </w:r>
      <w:proofErr w:type="spellStart"/>
      <w:r>
        <w:rPr>
          <w:color w:val="000000"/>
          <w:sz w:val="24"/>
          <w:szCs w:val="24"/>
          <w:lang w:val="fr-CA"/>
        </w:rPr>
        <w:t>Arctic</w:t>
      </w:r>
      <w:proofErr w:type="spellEnd"/>
      <w:r>
        <w:rPr>
          <w:color w:val="000000"/>
          <w:sz w:val="24"/>
          <w:szCs w:val="24"/>
          <w:lang w:val="fr-CA"/>
        </w:rPr>
        <w:t xml:space="preserve"> Bay (le hameau) et un nombre de charges électriques plus importantes, y compris le bureau du hameau, le centre communautaire, l’école, le centre de santé, le magasin </w:t>
      </w:r>
      <w:proofErr w:type="spellStart"/>
      <w:r>
        <w:rPr>
          <w:color w:val="000000"/>
          <w:sz w:val="24"/>
          <w:szCs w:val="24"/>
          <w:lang w:val="fr-CA"/>
        </w:rPr>
        <w:t>Northern</w:t>
      </w:r>
      <w:proofErr w:type="spellEnd"/>
      <w:r>
        <w:rPr>
          <w:color w:val="000000"/>
          <w:sz w:val="24"/>
          <w:szCs w:val="24"/>
          <w:lang w:val="fr-CA"/>
        </w:rPr>
        <w:t xml:space="preserve"> Store et la coopérative </w:t>
      </w:r>
      <w:proofErr w:type="spellStart"/>
      <w:r>
        <w:rPr>
          <w:color w:val="000000"/>
          <w:sz w:val="24"/>
          <w:szCs w:val="24"/>
          <w:lang w:val="fr-CA"/>
        </w:rPr>
        <w:t>Arctic</w:t>
      </w:r>
      <w:proofErr w:type="spellEnd"/>
      <w:r>
        <w:rPr>
          <w:color w:val="000000"/>
          <w:sz w:val="24"/>
          <w:szCs w:val="24"/>
          <w:lang w:val="fr-CA"/>
        </w:rPr>
        <w:t xml:space="preserve"> </w:t>
      </w:r>
      <w:proofErr w:type="spellStart"/>
      <w:r>
        <w:rPr>
          <w:color w:val="000000"/>
          <w:sz w:val="24"/>
          <w:szCs w:val="24"/>
          <w:lang w:val="fr-CA"/>
        </w:rPr>
        <w:t>Co-op</w:t>
      </w:r>
      <w:proofErr w:type="spellEnd"/>
      <w:r>
        <w:rPr>
          <w:color w:val="000000"/>
          <w:sz w:val="24"/>
          <w:szCs w:val="24"/>
          <w:lang w:val="fr-CA"/>
        </w:rPr>
        <w:t>.</w:t>
      </w:r>
      <w:r>
        <w:rPr>
          <w:color w:val="000000"/>
          <w:lang w:val="fr-CA"/>
        </w:rPr>
        <w:t xml:space="preserve"> </w:t>
      </w:r>
    </w:p>
    <w:p w14:paraId="350751FF" w14:textId="77777777" w:rsidR="00385301" w:rsidRDefault="00385301">
      <w:pPr>
        <w:pBdr>
          <w:top w:val="nil"/>
          <w:left w:val="nil"/>
          <w:bottom w:val="nil"/>
          <w:right w:val="nil"/>
          <w:between w:val="nil"/>
        </w:pBdr>
        <w:tabs>
          <w:tab w:val="left" w:pos="885"/>
        </w:tabs>
        <w:spacing w:line="360" w:lineRule="auto"/>
        <w:ind w:left="884" w:right="115"/>
        <w:jc w:val="both"/>
        <w:rPr>
          <w:color w:val="000000"/>
          <w:sz w:val="24"/>
          <w:szCs w:val="24"/>
        </w:rPr>
      </w:pPr>
    </w:p>
    <w:p w14:paraId="74E181E5"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a indiqué que ce projet a été retenu pour recevoir un financement du programme du Fonds pour l’énergie dans l’Arctique (</w:t>
      </w:r>
      <w:proofErr w:type="spellStart"/>
      <w:r>
        <w:rPr>
          <w:color w:val="000000"/>
          <w:sz w:val="24"/>
          <w:szCs w:val="24"/>
          <w:lang w:val="fr-CA"/>
        </w:rPr>
        <w:t>FEA</w:t>
      </w:r>
      <w:proofErr w:type="spellEnd"/>
      <w:r>
        <w:rPr>
          <w:color w:val="000000"/>
          <w:sz w:val="24"/>
          <w:szCs w:val="24"/>
          <w:lang w:val="fr-CA"/>
        </w:rPr>
        <w:t xml:space="preserve">) jusqu’à concurrence de 75 % des dépenses admissibles. Le coût préliminaire total estimé du projet est de 32,357 millions de dollars, y compris 1 million de dollars en dépenses non admissibles. D’après les prévisions de la </w:t>
      </w:r>
      <w:proofErr w:type="spellStart"/>
      <w:r>
        <w:rPr>
          <w:color w:val="000000"/>
          <w:sz w:val="24"/>
          <w:szCs w:val="24"/>
          <w:lang w:val="fr-CA"/>
        </w:rPr>
        <w:t>SÉQ</w:t>
      </w:r>
      <w:proofErr w:type="spellEnd"/>
      <w:r>
        <w:rPr>
          <w:color w:val="000000"/>
          <w:sz w:val="24"/>
          <w:szCs w:val="24"/>
          <w:lang w:val="fr-CA"/>
        </w:rPr>
        <w:t xml:space="preserve">, la cotisation du </w:t>
      </w:r>
      <w:proofErr w:type="spellStart"/>
      <w:r>
        <w:rPr>
          <w:color w:val="000000"/>
          <w:sz w:val="24"/>
          <w:szCs w:val="24"/>
          <w:lang w:val="fr-CA"/>
        </w:rPr>
        <w:t>FEA</w:t>
      </w:r>
      <w:proofErr w:type="spellEnd"/>
      <w:r>
        <w:rPr>
          <w:color w:val="000000"/>
          <w:sz w:val="24"/>
          <w:szCs w:val="24"/>
          <w:lang w:val="fr-CA"/>
        </w:rPr>
        <w:t xml:space="preserve"> serait de 23,518 millions de dollars et les 8,839 millions de dollars restants proviendraient de la </w:t>
      </w:r>
      <w:proofErr w:type="spellStart"/>
      <w:r>
        <w:rPr>
          <w:color w:val="000000"/>
          <w:sz w:val="24"/>
          <w:szCs w:val="24"/>
          <w:lang w:val="fr-CA"/>
        </w:rPr>
        <w:t>SÉQ</w:t>
      </w:r>
      <w:proofErr w:type="spellEnd"/>
      <w:r>
        <w:rPr>
          <w:color w:val="000000"/>
          <w:sz w:val="24"/>
          <w:szCs w:val="24"/>
          <w:lang w:val="fr-CA"/>
        </w:rPr>
        <w:t>.</w:t>
      </w:r>
    </w:p>
    <w:p w14:paraId="0A411B5E" w14:textId="77777777" w:rsidR="00385301" w:rsidRDefault="00385301">
      <w:pPr>
        <w:pBdr>
          <w:top w:val="nil"/>
          <w:left w:val="nil"/>
          <w:bottom w:val="nil"/>
          <w:right w:val="nil"/>
          <w:between w:val="nil"/>
        </w:pBdr>
        <w:tabs>
          <w:tab w:val="left" w:pos="885"/>
        </w:tabs>
        <w:spacing w:line="360" w:lineRule="auto"/>
        <w:ind w:left="884" w:right="115"/>
        <w:jc w:val="both"/>
        <w:rPr>
          <w:color w:val="000000"/>
          <w:sz w:val="24"/>
          <w:szCs w:val="24"/>
        </w:rPr>
      </w:pPr>
    </w:p>
    <w:p w14:paraId="7EC38B49"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a précisé que la centrale actuelle, construite en 1974, est dotée d’une puissance installée (PI) de 1 100 kW et d’une puissance garantie installée (</w:t>
      </w:r>
      <w:proofErr w:type="spellStart"/>
      <w:r>
        <w:rPr>
          <w:color w:val="000000"/>
          <w:sz w:val="24"/>
          <w:szCs w:val="24"/>
          <w:lang w:val="fr-CA"/>
        </w:rPr>
        <w:t>PGI</w:t>
      </w:r>
      <w:proofErr w:type="spellEnd"/>
      <w:r>
        <w:rPr>
          <w:color w:val="000000"/>
          <w:sz w:val="24"/>
          <w:szCs w:val="24"/>
          <w:lang w:val="fr-CA"/>
        </w:rPr>
        <w:t xml:space="preserve">) de 620 kW. La </w:t>
      </w:r>
      <w:proofErr w:type="spellStart"/>
      <w:r>
        <w:rPr>
          <w:color w:val="000000"/>
          <w:sz w:val="24"/>
          <w:szCs w:val="24"/>
          <w:lang w:val="fr-CA"/>
        </w:rPr>
        <w:t>SÉQ</w:t>
      </w:r>
      <w:proofErr w:type="spellEnd"/>
      <w:r>
        <w:rPr>
          <w:color w:val="000000"/>
          <w:sz w:val="24"/>
          <w:szCs w:val="24"/>
          <w:lang w:val="fr-CA"/>
        </w:rPr>
        <w:t xml:space="preserve"> a indiqué que la centrale avait dépassé sa durée de vie théorique de 40 ans, présentait des lacunes d’ordre technique et d’ingénierie et était en mauvais état. Voici les énoncés de la </w:t>
      </w:r>
      <w:proofErr w:type="spellStart"/>
      <w:r>
        <w:rPr>
          <w:color w:val="000000"/>
          <w:sz w:val="24"/>
          <w:szCs w:val="24"/>
          <w:lang w:val="fr-CA"/>
        </w:rPr>
        <w:t>SÉQ</w:t>
      </w:r>
      <w:proofErr w:type="spellEnd"/>
      <w:r>
        <w:rPr>
          <w:color w:val="000000"/>
          <w:sz w:val="24"/>
          <w:szCs w:val="24"/>
          <w:lang w:val="fr-CA"/>
        </w:rPr>
        <w:t xml:space="preserve"> :</w:t>
      </w:r>
    </w:p>
    <w:p w14:paraId="2EC35AD1" w14:textId="77777777" w:rsidR="00385301" w:rsidRDefault="00385301">
      <w:pPr>
        <w:pBdr>
          <w:top w:val="nil"/>
          <w:left w:val="nil"/>
          <w:bottom w:val="nil"/>
          <w:right w:val="nil"/>
          <w:between w:val="nil"/>
        </w:pBdr>
        <w:ind w:left="884" w:hanging="360"/>
        <w:jc w:val="both"/>
        <w:rPr>
          <w:color w:val="000000"/>
          <w:sz w:val="24"/>
          <w:szCs w:val="24"/>
        </w:rPr>
      </w:pPr>
    </w:p>
    <w:p w14:paraId="177FE1F7"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color w:val="000000"/>
          <w:sz w:val="24"/>
          <w:szCs w:val="24"/>
          <w:lang w:val="fr-CA"/>
        </w:rPr>
        <w:t>Infrastructure vieillissante – l’installation a 45 ans. L’immeuble et l’équipement auxiliaire sont âgés et ont commencé à se détériorer.</w:t>
      </w:r>
    </w:p>
    <w:p w14:paraId="200C72A3"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color w:val="000000"/>
          <w:sz w:val="24"/>
          <w:szCs w:val="24"/>
          <w:lang w:val="fr-CA"/>
        </w:rPr>
        <w:t>Remplacement du groupe électrogène – le groupe électrogène G1 approche la limite de sa mise hors d’usage.</w:t>
      </w:r>
    </w:p>
    <w:p w14:paraId="189689A5"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color w:val="000000"/>
          <w:sz w:val="24"/>
          <w:szCs w:val="24"/>
          <w:lang w:val="fr-CA"/>
        </w:rPr>
        <w:t>Préoccupations quant à la sécurité – l’installation est très vieille et présente donc un risque élevé de défaillance. L’appareillage de commutation actuel n’est pas à l’épreuve des arcs électriques et il est impossible de le modifier à cause de son âge, ce qui aggrave le risque d’incendie et de sécurité dans les installations.</w:t>
      </w:r>
    </w:p>
    <w:p w14:paraId="622B3BC8"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color w:val="000000"/>
          <w:sz w:val="24"/>
          <w:szCs w:val="24"/>
          <w:lang w:val="fr-CA"/>
        </w:rPr>
        <w:lastRenderedPageBreak/>
        <w:t>Exigences environnementales – la centrale actuelle est munie d’un réservoir de diesel à paroi simple, ce qui n’est pas conforme aux codes actuels. En outre, le réservoir est situé dans une berme qui requiert une décantation tous les ans et qui est sujette à la dégradation causée par l’eau de fonte.</w:t>
      </w:r>
    </w:p>
    <w:p w14:paraId="5B2ED638" w14:textId="77777777" w:rsidR="00385301" w:rsidRDefault="00385301">
      <w:pPr>
        <w:pBdr>
          <w:top w:val="nil"/>
          <w:left w:val="nil"/>
          <w:bottom w:val="nil"/>
          <w:right w:val="nil"/>
          <w:between w:val="nil"/>
        </w:pBdr>
        <w:ind w:left="884" w:hanging="360"/>
        <w:jc w:val="both"/>
        <w:rPr>
          <w:color w:val="000000"/>
          <w:sz w:val="24"/>
          <w:szCs w:val="24"/>
        </w:rPr>
      </w:pPr>
    </w:p>
    <w:p w14:paraId="2EDCF90A"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décrit </w:t>
      </w:r>
      <w:proofErr w:type="spellStart"/>
      <w:r>
        <w:rPr>
          <w:color w:val="000000"/>
          <w:sz w:val="24"/>
          <w:szCs w:val="24"/>
          <w:lang w:val="fr-CA"/>
        </w:rPr>
        <w:t>Arctic</w:t>
      </w:r>
      <w:proofErr w:type="spellEnd"/>
      <w:r>
        <w:rPr>
          <w:color w:val="000000"/>
          <w:sz w:val="24"/>
          <w:szCs w:val="24"/>
          <w:lang w:val="fr-CA"/>
        </w:rPr>
        <w:t xml:space="preserve"> Bay comme une localité en croissance où la demande en électricité augmente. La demande maximale au cours de 2017-2018 était de 678 kW et on prévoyait qu’elle dépasse 700 kW en 2019. La </w:t>
      </w:r>
      <w:proofErr w:type="spellStart"/>
      <w:r>
        <w:rPr>
          <w:color w:val="000000"/>
          <w:sz w:val="24"/>
          <w:szCs w:val="24"/>
          <w:lang w:val="fr-CA"/>
        </w:rPr>
        <w:t>SÉQ</w:t>
      </w:r>
      <w:proofErr w:type="spellEnd"/>
      <w:r>
        <w:rPr>
          <w:color w:val="000000"/>
          <w:sz w:val="24"/>
          <w:szCs w:val="24"/>
          <w:lang w:val="fr-CA"/>
        </w:rPr>
        <w:t xml:space="preserve"> a précisé que la centrale actuelle ne respecte pas son critère en matière de puissance garantie requise (</w:t>
      </w:r>
      <w:proofErr w:type="spellStart"/>
      <w:r>
        <w:rPr>
          <w:color w:val="000000"/>
          <w:sz w:val="24"/>
          <w:szCs w:val="24"/>
          <w:lang w:val="fr-CA"/>
        </w:rPr>
        <w:t>PGR</w:t>
      </w:r>
      <w:proofErr w:type="spellEnd"/>
      <w:r>
        <w:rPr>
          <w:color w:val="000000"/>
          <w:sz w:val="24"/>
          <w:szCs w:val="24"/>
          <w:lang w:val="fr-CA"/>
        </w:rPr>
        <w:t xml:space="preserve">), soit l’équivalent de la demande maximale plus 10 </w:t>
      </w:r>
      <w:r>
        <w:rPr>
          <w:sz w:val="24"/>
          <w:szCs w:val="24"/>
          <w:lang w:val="fr-CA"/>
        </w:rPr>
        <w:t>%</w:t>
      </w:r>
      <w:r>
        <w:rPr>
          <w:color w:val="000000"/>
          <w:sz w:val="24"/>
          <w:szCs w:val="24"/>
          <w:lang w:val="fr-CA"/>
        </w:rPr>
        <w:t xml:space="preserve">. La </w:t>
      </w:r>
      <w:proofErr w:type="spellStart"/>
      <w:r>
        <w:rPr>
          <w:color w:val="000000"/>
          <w:sz w:val="24"/>
          <w:szCs w:val="24"/>
          <w:lang w:val="fr-CA"/>
        </w:rPr>
        <w:t>SÉQ</w:t>
      </w:r>
      <w:proofErr w:type="spellEnd"/>
      <w:r>
        <w:rPr>
          <w:color w:val="000000"/>
          <w:sz w:val="24"/>
          <w:szCs w:val="24"/>
          <w:lang w:val="fr-CA"/>
        </w:rPr>
        <w:t xml:space="preserve"> prévoyait que le déficit actuel de </w:t>
      </w:r>
      <w:proofErr w:type="spellStart"/>
      <w:r>
        <w:rPr>
          <w:color w:val="000000"/>
          <w:sz w:val="24"/>
          <w:szCs w:val="24"/>
          <w:lang w:val="fr-CA"/>
        </w:rPr>
        <w:t>PGR</w:t>
      </w:r>
      <w:proofErr w:type="spellEnd"/>
      <w:r>
        <w:rPr>
          <w:color w:val="000000"/>
          <w:sz w:val="24"/>
          <w:szCs w:val="24"/>
          <w:lang w:val="fr-CA"/>
        </w:rPr>
        <w:t xml:space="preserve"> d’environ 20 % s’élèverait à environ 40 % d’ici 2027.</w:t>
      </w:r>
    </w:p>
    <w:p w14:paraId="6E4AAE2D" w14:textId="77777777" w:rsidR="00385301" w:rsidRDefault="00385301">
      <w:pPr>
        <w:pBdr>
          <w:top w:val="nil"/>
          <w:left w:val="nil"/>
          <w:bottom w:val="nil"/>
          <w:right w:val="nil"/>
          <w:between w:val="nil"/>
        </w:pBdr>
        <w:ind w:left="884" w:hanging="360"/>
        <w:jc w:val="both"/>
        <w:rPr>
          <w:color w:val="000000"/>
          <w:sz w:val="24"/>
          <w:szCs w:val="24"/>
        </w:rPr>
      </w:pPr>
    </w:p>
    <w:p w14:paraId="4208E15E"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a conclu que la hausse prévue de la demande en électricité dans la collectivité et les lacunes de la centrale actuelle exposent la localité à un grand risque que la </w:t>
      </w:r>
      <w:proofErr w:type="spellStart"/>
      <w:r>
        <w:rPr>
          <w:color w:val="000000"/>
          <w:sz w:val="24"/>
          <w:szCs w:val="24"/>
          <w:lang w:val="fr-CA"/>
        </w:rPr>
        <w:t>SÉQ</w:t>
      </w:r>
      <w:proofErr w:type="spellEnd"/>
      <w:r>
        <w:rPr>
          <w:color w:val="000000"/>
          <w:sz w:val="24"/>
          <w:szCs w:val="24"/>
          <w:lang w:val="fr-CA"/>
        </w:rPr>
        <w:t xml:space="preserve"> ne soit pas en mesure de lui fournir un approvisionnement en électricité sécuritaire et fiable.</w:t>
      </w:r>
    </w:p>
    <w:p w14:paraId="69BAB813" w14:textId="77777777" w:rsidR="00385301" w:rsidRDefault="00385301">
      <w:pPr>
        <w:pBdr>
          <w:top w:val="nil"/>
          <w:left w:val="nil"/>
          <w:bottom w:val="nil"/>
          <w:right w:val="nil"/>
          <w:between w:val="nil"/>
        </w:pBdr>
        <w:spacing w:before="10"/>
        <w:rPr>
          <w:color w:val="000000"/>
          <w:sz w:val="35"/>
          <w:szCs w:val="35"/>
        </w:rPr>
      </w:pPr>
    </w:p>
    <w:p w14:paraId="3B34A471" w14:textId="77777777" w:rsidR="00385301" w:rsidRDefault="00882D31">
      <w:pPr>
        <w:numPr>
          <w:ilvl w:val="2"/>
          <w:numId w:val="4"/>
        </w:numPr>
        <w:pBdr>
          <w:top w:val="nil"/>
          <w:left w:val="nil"/>
          <w:bottom w:val="nil"/>
          <w:right w:val="nil"/>
          <w:between w:val="nil"/>
        </w:pBdr>
        <w:tabs>
          <w:tab w:val="left" w:pos="885"/>
        </w:tabs>
        <w:spacing w:before="1" w:line="360" w:lineRule="auto"/>
        <w:ind w:right="120"/>
        <w:jc w:val="both"/>
        <w:rPr>
          <w:color w:val="000000"/>
          <w:sz w:val="24"/>
          <w:szCs w:val="24"/>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a présenté deux options de projet dans le cadre de la demande. Cependant, l’option de mettre à niveau et de remplacer les principaux composants et systèmes de la centrale actuelle n’était pas considérée viable. La </w:t>
      </w:r>
      <w:proofErr w:type="spellStart"/>
      <w:r>
        <w:rPr>
          <w:color w:val="000000"/>
          <w:sz w:val="24"/>
          <w:szCs w:val="24"/>
          <w:lang w:val="fr-CA"/>
        </w:rPr>
        <w:t>SÉQ</w:t>
      </w:r>
      <w:proofErr w:type="spellEnd"/>
      <w:r>
        <w:rPr>
          <w:color w:val="000000"/>
          <w:sz w:val="24"/>
          <w:szCs w:val="24"/>
          <w:lang w:val="fr-CA"/>
        </w:rPr>
        <w:t xml:space="preserve"> a indiqué que la mise à niveau et le remplacement n’étaient pas faisables du point de vue technique en raison des facteurs suivants :</w:t>
      </w:r>
    </w:p>
    <w:p w14:paraId="6D956056" w14:textId="77777777" w:rsidR="00385301" w:rsidRDefault="00385301">
      <w:pPr>
        <w:pBdr>
          <w:top w:val="nil"/>
          <w:left w:val="nil"/>
          <w:bottom w:val="nil"/>
          <w:right w:val="nil"/>
          <w:between w:val="nil"/>
        </w:pBdr>
        <w:ind w:left="884" w:hanging="360"/>
        <w:jc w:val="both"/>
        <w:rPr>
          <w:color w:val="000000"/>
          <w:sz w:val="24"/>
          <w:szCs w:val="24"/>
        </w:rPr>
      </w:pPr>
    </w:p>
    <w:p w14:paraId="169DA28E"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la</w:t>
      </w:r>
      <w:proofErr w:type="gramEnd"/>
      <w:r>
        <w:rPr>
          <w:color w:val="000000"/>
          <w:sz w:val="24"/>
          <w:szCs w:val="24"/>
          <w:lang w:val="fr-CA"/>
        </w:rPr>
        <w:t xml:space="preserve"> centrale s’est détériorée à un point tel que la mise à niveau n’est plus possible;</w:t>
      </w:r>
    </w:p>
    <w:p w14:paraId="3871D6DC"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la</w:t>
      </w:r>
      <w:proofErr w:type="gramEnd"/>
      <w:r>
        <w:rPr>
          <w:color w:val="000000"/>
          <w:sz w:val="24"/>
          <w:szCs w:val="24"/>
          <w:lang w:val="fr-CA"/>
        </w:rPr>
        <w:t xml:space="preserve"> superficie au sol de la centrale existante est trop petite pour recevoir les nouveaux groupes électrogènes;</w:t>
      </w:r>
    </w:p>
    <w:p w14:paraId="024C9562"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le</w:t>
      </w:r>
      <w:proofErr w:type="gramEnd"/>
      <w:r>
        <w:rPr>
          <w:color w:val="000000"/>
          <w:sz w:val="24"/>
          <w:szCs w:val="24"/>
          <w:lang w:val="fr-CA"/>
        </w:rPr>
        <w:t xml:space="preserve"> site actuel ne peut pas accueillir l’installation de génératrices temporaires;</w:t>
      </w:r>
    </w:p>
    <w:p w14:paraId="4F0B93D0"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la</w:t>
      </w:r>
      <w:proofErr w:type="gramEnd"/>
      <w:r>
        <w:rPr>
          <w:color w:val="000000"/>
          <w:sz w:val="24"/>
          <w:szCs w:val="24"/>
          <w:lang w:val="fr-CA"/>
        </w:rPr>
        <w:t xml:space="preserve"> superficie du site actuel n’est pas assez grande pour héberger un agrandissement de la centrale.</w:t>
      </w:r>
    </w:p>
    <w:p w14:paraId="0A3269C9" w14:textId="77777777" w:rsidR="00385301" w:rsidRDefault="00385301">
      <w:pPr>
        <w:pBdr>
          <w:top w:val="nil"/>
          <w:left w:val="nil"/>
          <w:bottom w:val="nil"/>
          <w:right w:val="nil"/>
          <w:between w:val="nil"/>
        </w:pBdr>
        <w:ind w:left="1244" w:hanging="360"/>
        <w:jc w:val="both"/>
        <w:rPr>
          <w:color w:val="000000"/>
          <w:sz w:val="24"/>
          <w:szCs w:val="24"/>
        </w:rPr>
      </w:pPr>
    </w:p>
    <w:p w14:paraId="4B10F89E" w14:textId="2C5FC020" w:rsidR="00385301" w:rsidRDefault="00882D31">
      <w:pPr>
        <w:numPr>
          <w:ilvl w:val="2"/>
          <w:numId w:val="4"/>
        </w:numPr>
        <w:pBdr>
          <w:top w:val="nil"/>
          <w:left w:val="nil"/>
          <w:bottom w:val="nil"/>
          <w:right w:val="nil"/>
          <w:between w:val="nil"/>
        </w:pBdr>
        <w:tabs>
          <w:tab w:val="left" w:pos="885"/>
        </w:tabs>
        <w:spacing w:before="1" w:line="360" w:lineRule="auto"/>
        <w:ind w:right="120"/>
        <w:jc w:val="both"/>
        <w:rPr>
          <w:color w:val="000000"/>
          <w:sz w:val="24"/>
          <w:szCs w:val="24"/>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a indiqué que la deuxième option impliquerait la construction d’une nouvelle centrale à un emplacement à l’extérieur de la collectivité. Il s’agirait d’une centrale d’une durée de vie prévue de 40 ans, dotée de quatre moteurs, d’une PI de 1 680 kW et </w:t>
      </w:r>
      <w:r>
        <w:rPr>
          <w:color w:val="000000"/>
          <w:sz w:val="24"/>
          <w:szCs w:val="24"/>
          <w:lang w:val="fr-CA"/>
        </w:rPr>
        <w:lastRenderedPageBreak/>
        <w:t xml:space="preserve">d’une </w:t>
      </w:r>
      <w:proofErr w:type="spellStart"/>
      <w:r>
        <w:rPr>
          <w:color w:val="000000"/>
          <w:sz w:val="24"/>
          <w:szCs w:val="24"/>
          <w:lang w:val="fr-CA"/>
        </w:rPr>
        <w:t>PGI</w:t>
      </w:r>
      <w:proofErr w:type="spellEnd"/>
      <w:r>
        <w:rPr>
          <w:color w:val="000000"/>
          <w:sz w:val="24"/>
          <w:szCs w:val="24"/>
          <w:lang w:val="fr-CA"/>
        </w:rPr>
        <w:t xml:space="preserve"> de 1 200 kW pour une fiabilité, une efficacité, une exploitation et une sécurité améliorées. La nouvelle centrale comprendrait aussi deux réservoirs de carburant horizontaux à paroi double de </w:t>
      </w:r>
      <w:r w:rsidR="00E528CC">
        <w:rPr>
          <w:color w:val="000000"/>
          <w:sz w:val="24"/>
          <w:szCs w:val="24"/>
          <w:lang w:val="fr-CA"/>
        </w:rPr>
        <w:t>90 </w:t>
      </w:r>
      <w:r>
        <w:rPr>
          <w:color w:val="000000"/>
          <w:sz w:val="24"/>
          <w:szCs w:val="24"/>
          <w:lang w:val="fr-CA"/>
        </w:rPr>
        <w:t xml:space="preserve">000 litres pour le stockage de carburant, des installations de pompage, une plateforme en béton pour le stockage des transformateurs, des râteliers à poteaux, des bermes pour l’huile usée et environ 1,2 km de lignes de distribution. </w:t>
      </w:r>
    </w:p>
    <w:p w14:paraId="651EB2DE" w14:textId="77777777" w:rsidR="00385301" w:rsidRDefault="00385301">
      <w:pPr>
        <w:pBdr>
          <w:top w:val="nil"/>
          <w:left w:val="nil"/>
          <w:bottom w:val="nil"/>
          <w:right w:val="nil"/>
          <w:between w:val="nil"/>
        </w:pBdr>
        <w:ind w:left="884" w:hanging="360"/>
        <w:jc w:val="both"/>
        <w:rPr>
          <w:color w:val="000000"/>
          <w:sz w:val="24"/>
          <w:szCs w:val="24"/>
        </w:rPr>
      </w:pPr>
    </w:p>
    <w:p w14:paraId="65C0D6F2" w14:textId="77777777" w:rsidR="00385301" w:rsidRDefault="00882D31">
      <w:pPr>
        <w:numPr>
          <w:ilvl w:val="2"/>
          <w:numId w:val="4"/>
        </w:numPr>
        <w:pBdr>
          <w:top w:val="nil"/>
          <w:left w:val="nil"/>
          <w:bottom w:val="nil"/>
          <w:right w:val="nil"/>
          <w:between w:val="nil"/>
        </w:pBdr>
        <w:tabs>
          <w:tab w:val="left" w:pos="885"/>
        </w:tabs>
        <w:spacing w:before="1" w:line="360" w:lineRule="auto"/>
        <w:ind w:right="120"/>
        <w:jc w:val="both"/>
        <w:rPr>
          <w:color w:val="000000"/>
          <w:sz w:val="24"/>
          <w:szCs w:val="24"/>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a aussi indiqué que la nouvelle centrale produirait moins de bruit et de pollution de l’air et aurait la capacité d’intégrer des sources d’énergie renouvelable. </w:t>
      </w:r>
    </w:p>
    <w:p w14:paraId="3202FC20" w14:textId="77777777" w:rsidR="00385301" w:rsidRDefault="00385301">
      <w:pPr>
        <w:pBdr>
          <w:top w:val="nil"/>
          <w:left w:val="nil"/>
          <w:bottom w:val="nil"/>
          <w:right w:val="nil"/>
          <w:between w:val="nil"/>
        </w:pBdr>
        <w:ind w:left="884" w:hanging="360"/>
        <w:jc w:val="both"/>
        <w:rPr>
          <w:color w:val="000000"/>
          <w:sz w:val="24"/>
          <w:szCs w:val="24"/>
        </w:rPr>
      </w:pPr>
    </w:p>
    <w:p w14:paraId="378F14EB" w14:textId="77777777" w:rsidR="0065177E" w:rsidRDefault="0065177E">
      <w:pPr>
        <w:pBdr>
          <w:top w:val="nil"/>
          <w:left w:val="nil"/>
          <w:bottom w:val="nil"/>
          <w:right w:val="nil"/>
          <w:between w:val="nil"/>
        </w:pBdr>
        <w:ind w:left="884" w:hanging="360"/>
        <w:jc w:val="both"/>
        <w:rPr>
          <w:color w:val="000000"/>
          <w:sz w:val="24"/>
          <w:szCs w:val="24"/>
        </w:rPr>
      </w:pPr>
    </w:p>
    <w:p w14:paraId="0722452E" w14:textId="77777777" w:rsidR="00385301" w:rsidRDefault="00882D31">
      <w:pPr>
        <w:numPr>
          <w:ilvl w:val="2"/>
          <w:numId w:val="4"/>
        </w:numPr>
        <w:pBdr>
          <w:top w:val="nil"/>
          <w:left w:val="nil"/>
          <w:bottom w:val="nil"/>
          <w:right w:val="nil"/>
          <w:between w:val="nil"/>
        </w:pBdr>
        <w:tabs>
          <w:tab w:val="left" w:pos="885"/>
        </w:tabs>
        <w:spacing w:before="1" w:line="360" w:lineRule="auto"/>
        <w:ind w:right="120"/>
        <w:jc w:val="both"/>
        <w:rPr>
          <w:color w:val="000000"/>
          <w:sz w:val="35"/>
          <w:szCs w:val="35"/>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a précisé que la nouvelle centrale répondrait aux projections relatives à la charge de pointe d’</w:t>
      </w:r>
      <w:proofErr w:type="spellStart"/>
      <w:r>
        <w:rPr>
          <w:color w:val="000000"/>
          <w:sz w:val="24"/>
          <w:szCs w:val="24"/>
          <w:lang w:val="fr-CA"/>
        </w:rPr>
        <w:t>Arctic</w:t>
      </w:r>
      <w:proofErr w:type="spellEnd"/>
      <w:r>
        <w:rPr>
          <w:color w:val="000000"/>
          <w:sz w:val="24"/>
          <w:szCs w:val="24"/>
          <w:lang w:val="fr-CA"/>
        </w:rPr>
        <w:t xml:space="preserve"> Bay pendant 40 ans.</w:t>
      </w:r>
      <w:r>
        <w:rPr>
          <w:color w:val="000000"/>
          <w:sz w:val="35"/>
          <w:szCs w:val="35"/>
          <w:lang w:val="fr-CA"/>
        </w:rPr>
        <w:t xml:space="preserve"> </w:t>
      </w:r>
    </w:p>
    <w:p w14:paraId="48C4A5F7" w14:textId="77777777" w:rsidR="00385301" w:rsidRDefault="00385301">
      <w:pPr>
        <w:spacing w:line="360" w:lineRule="auto"/>
        <w:jc w:val="both"/>
        <w:rPr>
          <w:sz w:val="24"/>
          <w:szCs w:val="24"/>
        </w:rPr>
        <w:sectPr w:rsidR="00385301" w:rsidSect="00F24A93">
          <w:pgSz w:w="12240" w:h="15840" w:code="1"/>
          <w:pgMar w:top="1440" w:right="1310" w:bottom="1138" w:left="1310" w:header="720" w:footer="720" w:gutter="0"/>
          <w:cols w:space="720" w:equalWidth="0">
            <w:col w:w="9370"/>
          </w:cols>
        </w:sectPr>
      </w:pPr>
    </w:p>
    <w:p w14:paraId="3B1FCDAC" w14:textId="77777777" w:rsidR="00385301" w:rsidRPr="00F736F1" w:rsidRDefault="00882D31" w:rsidP="004033EA">
      <w:pPr>
        <w:pStyle w:val="URRCHeading1"/>
      </w:pPr>
      <w:bookmarkStart w:id="8" w:name="_heading=h.1t3h5sf" w:colFirst="0" w:colLast="0"/>
      <w:bookmarkStart w:id="9" w:name="bookmark=id.3dy6vkm" w:colFirst="0" w:colLast="0"/>
      <w:bookmarkStart w:id="10" w:name="_Toc84252927"/>
      <w:bookmarkEnd w:id="8"/>
      <w:bookmarkEnd w:id="9"/>
      <w:r>
        <w:rPr>
          <w:bCs/>
          <w:lang w:val="fr-CA"/>
        </w:rPr>
        <w:lastRenderedPageBreak/>
        <w:t>PROCESSUS</w:t>
      </w:r>
      <w:bookmarkEnd w:id="10"/>
    </w:p>
    <w:p w14:paraId="4E220A43" w14:textId="77777777" w:rsidR="00385301" w:rsidRPr="00F24A93" w:rsidRDefault="00385301">
      <w:pPr>
        <w:pBdr>
          <w:top w:val="nil"/>
          <w:left w:val="nil"/>
          <w:bottom w:val="nil"/>
          <w:right w:val="nil"/>
          <w:between w:val="nil"/>
        </w:pBdr>
        <w:spacing w:before="10"/>
        <w:rPr>
          <w:b/>
          <w:color w:val="000000"/>
          <w:sz w:val="24"/>
          <w:szCs w:val="24"/>
        </w:rPr>
      </w:pPr>
    </w:p>
    <w:p w14:paraId="0AF090D2" w14:textId="77777777" w:rsidR="00385301" w:rsidRPr="00F736F1" w:rsidRDefault="00882D31" w:rsidP="004033EA">
      <w:pPr>
        <w:pStyle w:val="URRCHeading2"/>
      </w:pPr>
      <w:bookmarkStart w:id="11" w:name="_heading=h.2s8eyo1" w:colFirst="0" w:colLast="0"/>
      <w:bookmarkStart w:id="12" w:name="bookmark=id.4d34og8" w:colFirst="0" w:colLast="0"/>
      <w:bookmarkStart w:id="13" w:name="_Toc84252928"/>
      <w:bookmarkEnd w:id="11"/>
      <w:bookmarkEnd w:id="12"/>
      <w:r>
        <w:rPr>
          <w:bCs/>
          <w:lang w:val="fr-CA"/>
        </w:rPr>
        <w:t>DEMANDE PEU IMPORTANTE OU IMPORTANTE</w:t>
      </w:r>
      <w:bookmarkEnd w:id="13"/>
    </w:p>
    <w:p w14:paraId="49F09205" w14:textId="77777777" w:rsidR="00385301" w:rsidRPr="00406104" w:rsidRDefault="00385301">
      <w:pPr>
        <w:pBdr>
          <w:top w:val="nil"/>
          <w:left w:val="nil"/>
          <w:bottom w:val="nil"/>
          <w:right w:val="nil"/>
          <w:between w:val="nil"/>
        </w:pBdr>
        <w:spacing w:before="10"/>
        <w:rPr>
          <w:b/>
          <w:color w:val="000000"/>
          <w:sz w:val="28"/>
          <w:szCs w:val="28"/>
        </w:rPr>
      </w:pPr>
    </w:p>
    <w:p w14:paraId="2D1E9977" w14:textId="06D89924"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lang w:val="fr-CA"/>
        </w:rPr>
        <w:t xml:space="preserve">En vertu de la </w:t>
      </w:r>
      <w:r w:rsidRPr="00AD1970">
        <w:rPr>
          <w:color w:val="000000"/>
          <w:sz w:val="24"/>
          <w:szCs w:val="24"/>
          <w:lang w:val="fr-CA"/>
        </w:rPr>
        <w:t xml:space="preserve">Loi sur le </w:t>
      </w:r>
      <w:proofErr w:type="spellStart"/>
      <w:r w:rsidRPr="00AD1970">
        <w:rPr>
          <w:color w:val="000000"/>
          <w:sz w:val="24"/>
          <w:szCs w:val="24"/>
          <w:lang w:val="fr-CA"/>
        </w:rPr>
        <w:t>CETES</w:t>
      </w:r>
      <w:proofErr w:type="spellEnd"/>
      <w:r>
        <w:rPr>
          <w:color w:val="000000"/>
          <w:sz w:val="24"/>
          <w:szCs w:val="24"/>
          <w:lang w:val="fr-CA"/>
        </w:rPr>
        <w:t xml:space="preserve">, il est entendu qu’à l’entière discrétion du </w:t>
      </w:r>
      <w:proofErr w:type="spellStart"/>
      <w:r>
        <w:rPr>
          <w:color w:val="000000"/>
          <w:sz w:val="24"/>
          <w:szCs w:val="24"/>
          <w:lang w:val="fr-CA"/>
        </w:rPr>
        <w:t>CETES</w:t>
      </w:r>
      <w:proofErr w:type="spellEnd"/>
      <w:r>
        <w:rPr>
          <w:color w:val="000000"/>
          <w:sz w:val="24"/>
          <w:szCs w:val="24"/>
          <w:lang w:val="fr-CA"/>
        </w:rPr>
        <w:t xml:space="preserve">, le </w:t>
      </w:r>
      <w:proofErr w:type="spellStart"/>
      <w:r>
        <w:rPr>
          <w:color w:val="000000"/>
          <w:sz w:val="24"/>
          <w:szCs w:val="24"/>
          <w:lang w:val="fr-CA"/>
        </w:rPr>
        <w:t>CETES</w:t>
      </w:r>
      <w:proofErr w:type="spellEnd"/>
      <w:r>
        <w:rPr>
          <w:color w:val="000000"/>
          <w:sz w:val="24"/>
          <w:szCs w:val="24"/>
          <w:lang w:val="fr-CA"/>
        </w:rPr>
        <w:t xml:space="preserve"> déterminera si une </w:t>
      </w:r>
      <w:r>
        <w:rPr>
          <w:sz w:val="24"/>
          <w:szCs w:val="24"/>
          <w:lang w:val="fr-CA"/>
        </w:rPr>
        <w:t>demande</w:t>
      </w:r>
      <w:r>
        <w:rPr>
          <w:color w:val="000000"/>
          <w:sz w:val="24"/>
          <w:szCs w:val="24"/>
          <w:lang w:val="fr-CA"/>
        </w:rPr>
        <w:t xml:space="preserve"> est </w:t>
      </w:r>
      <w:r>
        <w:rPr>
          <w:sz w:val="24"/>
          <w:szCs w:val="24"/>
          <w:lang w:val="fr-CA"/>
        </w:rPr>
        <w:t>importante</w:t>
      </w:r>
      <w:r>
        <w:rPr>
          <w:color w:val="000000"/>
          <w:sz w:val="24"/>
          <w:szCs w:val="24"/>
          <w:lang w:val="fr-CA"/>
        </w:rPr>
        <w:t xml:space="preserve"> ou </w:t>
      </w:r>
      <w:r>
        <w:rPr>
          <w:sz w:val="24"/>
          <w:szCs w:val="24"/>
          <w:lang w:val="fr-CA"/>
        </w:rPr>
        <w:t>peu importante</w:t>
      </w:r>
      <w:r>
        <w:rPr>
          <w:color w:val="000000"/>
          <w:sz w:val="24"/>
          <w:szCs w:val="24"/>
          <w:lang w:val="fr-CA"/>
        </w:rPr>
        <w:t xml:space="preserve"> aux fins du délai de traitement de la demande : une </w:t>
      </w:r>
      <w:r>
        <w:rPr>
          <w:sz w:val="24"/>
          <w:szCs w:val="24"/>
          <w:lang w:val="fr-CA"/>
        </w:rPr>
        <w:t>demande</w:t>
      </w:r>
      <w:r>
        <w:rPr>
          <w:color w:val="000000"/>
          <w:sz w:val="24"/>
          <w:szCs w:val="24"/>
          <w:lang w:val="fr-CA"/>
        </w:rPr>
        <w:t xml:space="preserve"> peu importante est assujettie à un délai maximal de 90 jours avant le dépôt du rapport du </w:t>
      </w:r>
      <w:proofErr w:type="spellStart"/>
      <w:r>
        <w:rPr>
          <w:color w:val="000000"/>
          <w:sz w:val="24"/>
          <w:szCs w:val="24"/>
          <w:lang w:val="fr-CA"/>
        </w:rPr>
        <w:t>CETES</w:t>
      </w:r>
      <w:proofErr w:type="spellEnd"/>
      <w:r>
        <w:rPr>
          <w:color w:val="000000"/>
          <w:sz w:val="24"/>
          <w:szCs w:val="24"/>
          <w:lang w:val="fr-CA"/>
        </w:rPr>
        <w:t xml:space="preserve"> au ministre responsable, tandis qu’une demande importante est assujettie à un délai maximal de 150 jours. Le </w:t>
      </w:r>
      <w:proofErr w:type="spellStart"/>
      <w:r>
        <w:rPr>
          <w:color w:val="000000"/>
          <w:sz w:val="24"/>
          <w:szCs w:val="24"/>
          <w:lang w:val="fr-CA"/>
        </w:rPr>
        <w:t>CETES</w:t>
      </w:r>
      <w:proofErr w:type="spellEnd"/>
      <w:r>
        <w:rPr>
          <w:color w:val="000000"/>
          <w:sz w:val="24"/>
          <w:szCs w:val="24"/>
          <w:lang w:val="fr-CA"/>
        </w:rPr>
        <w:t xml:space="preserve"> a tenu compte du degré d’investissement considérable proposé dans la demande</w:t>
      </w:r>
      <w:r>
        <w:rPr>
          <w:color w:val="000000"/>
          <w:lang w:val="fr-CA"/>
        </w:rPr>
        <w:t xml:space="preserve"> </w:t>
      </w:r>
      <w:r>
        <w:rPr>
          <w:color w:val="000000"/>
          <w:sz w:val="24"/>
          <w:szCs w:val="24"/>
          <w:lang w:val="fr-CA"/>
        </w:rPr>
        <w:t>(</w:t>
      </w:r>
      <w:r w:rsidR="006B7845">
        <w:rPr>
          <w:color w:val="000000"/>
          <w:sz w:val="24"/>
          <w:szCs w:val="24"/>
          <w:lang w:val="fr-CA"/>
        </w:rPr>
        <w:t>y </w:t>
      </w:r>
      <w:r>
        <w:rPr>
          <w:color w:val="000000"/>
          <w:sz w:val="24"/>
          <w:szCs w:val="24"/>
          <w:lang w:val="fr-CA"/>
        </w:rPr>
        <w:t xml:space="preserve">compris que la majeure partie de ce financement proviendrait du </w:t>
      </w:r>
      <w:proofErr w:type="spellStart"/>
      <w:r>
        <w:rPr>
          <w:color w:val="000000"/>
          <w:sz w:val="24"/>
          <w:szCs w:val="24"/>
          <w:lang w:val="fr-CA"/>
        </w:rPr>
        <w:t>FEA</w:t>
      </w:r>
      <w:proofErr w:type="spellEnd"/>
      <w:r>
        <w:rPr>
          <w:color w:val="000000"/>
          <w:sz w:val="24"/>
          <w:szCs w:val="24"/>
          <w:lang w:val="fr-CA"/>
        </w:rPr>
        <w:t xml:space="preserve">, ce qui réduirait l’investissement requis de la </w:t>
      </w:r>
      <w:proofErr w:type="spellStart"/>
      <w:r>
        <w:rPr>
          <w:color w:val="000000"/>
          <w:sz w:val="24"/>
          <w:szCs w:val="24"/>
          <w:lang w:val="fr-CA"/>
        </w:rPr>
        <w:t>SÉQ</w:t>
      </w:r>
      <w:proofErr w:type="spellEnd"/>
      <w:r>
        <w:rPr>
          <w:color w:val="000000"/>
          <w:sz w:val="24"/>
          <w:szCs w:val="24"/>
          <w:lang w:val="fr-CA"/>
        </w:rPr>
        <w:t xml:space="preserve">) et le besoin en demandes d’information et en réponse à celles-ci. Par conséquent, le </w:t>
      </w:r>
      <w:proofErr w:type="spellStart"/>
      <w:r>
        <w:rPr>
          <w:color w:val="000000"/>
          <w:sz w:val="24"/>
          <w:szCs w:val="24"/>
          <w:lang w:val="fr-CA"/>
        </w:rPr>
        <w:t>CETES</w:t>
      </w:r>
      <w:proofErr w:type="spellEnd"/>
      <w:r>
        <w:rPr>
          <w:color w:val="000000"/>
          <w:sz w:val="24"/>
          <w:szCs w:val="24"/>
          <w:lang w:val="fr-CA"/>
        </w:rPr>
        <w:t xml:space="preserve"> a choisi de traiter la demande comme une </w:t>
      </w:r>
      <w:r>
        <w:rPr>
          <w:sz w:val="24"/>
          <w:szCs w:val="24"/>
          <w:lang w:val="fr-CA"/>
        </w:rPr>
        <w:t>demande</w:t>
      </w:r>
      <w:r>
        <w:rPr>
          <w:color w:val="000000"/>
          <w:sz w:val="24"/>
          <w:szCs w:val="24"/>
          <w:lang w:val="fr-CA"/>
        </w:rPr>
        <w:t xml:space="preserve"> </w:t>
      </w:r>
      <w:r>
        <w:rPr>
          <w:sz w:val="24"/>
          <w:szCs w:val="24"/>
          <w:lang w:val="fr-CA"/>
        </w:rPr>
        <w:t>peu importante</w:t>
      </w:r>
      <w:r>
        <w:rPr>
          <w:color w:val="000000"/>
          <w:sz w:val="24"/>
          <w:szCs w:val="24"/>
          <w:lang w:val="fr-CA"/>
        </w:rPr>
        <w:t>.</w:t>
      </w:r>
    </w:p>
    <w:p w14:paraId="09F2474C" w14:textId="77777777" w:rsidR="00385301" w:rsidRDefault="00385301">
      <w:pPr>
        <w:pBdr>
          <w:top w:val="nil"/>
          <w:left w:val="nil"/>
          <w:bottom w:val="nil"/>
          <w:right w:val="nil"/>
          <w:between w:val="nil"/>
        </w:pBdr>
        <w:rPr>
          <w:color w:val="000000"/>
          <w:sz w:val="26"/>
          <w:szCs w:val="26"/>
        </w:rPr>
      </w:pPr>
    </w:p>
    <w:p w14:paraId="2EA5D2A7" w14:textId="77777777" w:rsidR="00385301" w:rsidRDefault="00385301">
      <w:pPr>
        <w:pBdr>
          <w:top w:val="nil"/>
          <w:left w:val="nil"/>
          <w:bottom w:val="nil"/>
          <w:right w:val="nil"/>
          <w:between w:val="nil"/>
        </w:pBdr>
        <w:spacing w:before="5"/>
        <w:rPr>
          <w:color w:val="000000"/>
          <w:sz w:val="20"/>
          <w:szCs w:val="20"/>
        </w:rPr>
      </w:pPr>
    </w:p>
    <w:p w14:paraId="2A8F124F" w14:textId="77777777" w:rsidR="00385301" w:rsidRPr="00F736F1" w:rsidRDefault="00882D31" w:rsidP="004033EA">
      <w:pPr>
        <w:pStyle w:val="URRCHeading2"/>
      </w:pPr>
      <w:bookmarkStart w:id="14" w:name="_heading=h.3rdcrjn" w:colFirst="0" w:colLast="0"/>
      <w:bookmarkStart w:id="15" w:name="bookmark=id.17dp8vu" w:colFirst="0" w:colLast="0"/>
      <w:bookmarkStart w:id="16" w:name="_Toc84252929"/>
      <w:bookmarkEnd w:id="14"/>
      <w:bookmarkEnd w:id="15"/>
      <w:r>
        <w:rPr>
          <w:bCs/>
          <w:lang w:val="fr-CA"/>
        </w:rPr>
        <w:t>PROCESSUS DE CONSULTATION DU PUBLIC</w:t>
      </w:r>
      <w:bookmarkEnd w:id="16"/>
    </w:p>
    <w:p w14:paraId="4DBE18AC" w14:textId="77777777" w:rsidR="00385301" w:rsidRPr="00406104" w:rsidRDefault="00385301">
      <w:pPr>
        <w:pBdr>
          <w:top w:val="nil"/>
          <w:left w:val="nil"/>
          <w:bottom w:val="nil"/>
          <w:right w:val="nil"/>
          <w:between w:val="nil"/>
        </w:pBdr>
        <w:rPr>
          <w:b/>
          <w:color w:val="000000"/>
          <w:sz w:val="28"/>
          <w:szCs w:val="28"/>
        </w:rPr>
      </w:pPr>
    </w:p>
    <w:p w14:paraId="10C54C43" w14:textId="77777777" w:rsidR="00385301" w:rsidRDefault="00882D31">
      <w:pPr>
        <w:numPr>
          <w:ilvl w:val="2"/>
          <w:numId w:val="4"/>
        </w:numPr>
        <w:pBdr>
          <w:top w:val="nil"/>
          <w:left w:val="nil"/>
          <w:bottom w:val="nil"/>
          <w:right w:val="nil"/>
          <w:between w:val="nil"/>
        </w:pBdr>
        <w:tabs>
          <w:tab w:val="left" w:pos="885"/>
        </w:tabs>
        <w:spacing w:before="9" w:line="360" w:lineRule="auto"/>
        <w:ind w:right="118"/>
        <w:jc w:val="both"/>
        <w:rPr>
          <w:color w:val="000000"/>
          <w:sz w:val="24"/>
          <w:szCs w:val="24"/>
        </w:rPr>
      </w:pPr>
      <w:r>
        <w:rPr>
          <w:color w:val="000000"/>
          <w:sz w:val="24"/>
          <w:szCs w:val="24"/>
          <w:lang w:val="fr-CA"/>
        </w:rPr>
        <w:t xml:space="preserve">Au cours de la période précédant l’échéance pour les commentaires écrits, le </w:t>
      </w:r>
      <w:proofErr w:type="spellStart"/>
      <w:r>
        <w:rPr>
          <w:color w:val="000000"/>
          <w:sz w:val="24"/>
          <w:szCs w:val="24"/>
          <w:lang w:val="fr-CA"/>
        </w:rPr>
        <w:t>CETES</w:t>
      </w:r>
      <w:proofErr w:type="spellEnd"/>
      <w:r>
        <w:rPr>
          <w:color w:val="000000"/>
          <w:sz w:val="24"/>
          <w:szCs w:val="24"/>
          <w:lang w:val="fr-CA"/>
        </w:rPr>
        <w:t xml:space="preserve"> a signifié la demande par l’entremise d’un feuillet distribué à toutes les adresses postales d’</w:t>
      </w:r>
      <w:proofErr w:type="spellStart"/>
      <w:r>
        <w:rPr>
          <w:color w:val="000000"/>
          <w:sz w:val="24"/>
          <w:szCs w:val="24"/>
          <w:lang w:val="fr-CA"/>
        </w:rPr>
        <w:t>Arctic</w:t>
      </w:r>
      <w:proofErr w:type="spellEnd"/>
      <w:r>
        <w:rPr>
          <w:color w:val="000000"/>
          <w:sz w:val="24"/>
          <w:szCs w:val="24"/>
          <w:lang w:val="fr-CA"/>
        </w:rPr>
        <w:t xml:space="preserve"> Bay, les médias sociaux, des agents de liaison du gouvernement (</w:t>
      </w:r>
      <w:proofErr w:type="spellStart"/>
      <w:r>
        <w:rPr>
          <w:color w:val="000000"/>
          <w:sz w:val="24"/>
          <w:szCs w:val="24"/>
          <w:lang w:val="fr-CA"/>
        </w:rPr>
        <w:t>ALG</w:t>
      </w:r>
      <w:proofErr w:type="spellEnd"/>
      <w:r>
        <w:rPr>
          <w:color w:val="000000"/>
          <w:sz w:val="24"/>
          <w:szCs w:val="24"/>
          <w:lang w:val="fr-CA"/>
        </w:rPr>
        <w:t>) de chaque collectivité et d’une lettre à chaque membre de l’Assemblée législative du Nunavut, au maire, aux agents administratifs principaux (</w:t>
      </w:r>
      <w:proofErr w:type="spellStart"/>
      <w:r>
        <w:rPr>
          <w:color w:val="000000"/>
          <w:sz w:val="24"/>
          <w:szCs w:val="24"/>
          <w:lang w:val="fr-CA"/>
        </w:rPr>
        <w:t>AAP</w:t>
      </w:r>
      <w:proofErr w:type="spellEnd"/>
      <w:r>
        <w:rPr>
          <w:color w:val="000000"/>
          <w:sz w:val="24"/>
          <w:szCs w:val="24"/>
          <w:lang w:val="fr-CA"/>
        </w:rPr>
        <w:t xml:space="preserve">), de même qu’aux adjoints des </w:t>
      </w:r>
      <w:proofErr w:type="spellStart"/>
      <w:r>
        <w:rPr>
          <w:color w:val="000000"/>
          <w:sz w:val="24"/>
          <w:szCs w:val="24"/>
          <w:lang w:val="fr-CA"/>
        </w:rPr>
        <w:t>AAP</w:t>
      </w:r>
      <w:proofErr w:type="spellEnd"/>
      <w:r>
        <w:rPr>
          <w:color w:val="000000"/>
          <w:sz w:val="24"/>
          <w:szCs w:val="24"/>
          <w:lang w:val="fr-CA"/>
        </w:rPr>
        <w:t xml:space="preserve"> dans l’ensemble du Nunavut.</w:t>
      </w:r>
    </w:p>
    <w:p w14:paraId="7C0B6EA4" w14:textId="77777777" w:rsidR="00385301" w:rsidRDefault="00385301">
      <w:pPr>
        <w:pBdr>
          <w:top w:val="nil"/>
          <w:left w:val="nil"/>
          <w:bottom w:val="nil"/>
          <w:right w:val="nil"/>
          <w:between w:val="nil"/>
        </w:pBdr>
        <w:tabs>
          <w:tab w:val="left" w:pos="885"/>
        </w:tabs>
        <w:spacing w:before="9" w:line="360" w:lineRule="auto"/>
        <w:ind w:left="884" w:right="118"/>
        <w:rPr>
          <w:color w:val="000000"/>
        </w:rPr>
      </w:pPr>
    </w:p>
    <w:p w14:paraId="5DA094A5" w14:textId="77777777" w:rsidR="00385301" w:rsidRDefault="00882D31">
      <w:pPr>
        <w:numPr>
          <w:ilvl w:val="2"/>
          <w:numId w:val="4"/>
        </w:numPr>
        <w:pBdr>
          <w:top w:val="nil"/>
          <w:left w:val="nil"/>
          <w:bottom w:val="nil"/>
          <w:right w:val="nil"/>
          <w:between w:val="nil"/>
        </w:pBdr>
        <w:tabs>
          <w:tab w:val="left" w:pos="885"/>
        </w:tabs>
        <w:spacing w:before="1" w:line="360" w:lineRule="auto"/>
        <w:ind w:right="116"/>
        <w:jc w:val="both"/>
        <w:rPr>
          <w:color w:val="000000"/>
          <w:sz w:val="24"/>
          <w:szCs w:val="24"/>
        </w:rPr>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a également donné au public l’occasion de présenter des commentaires écrits au sujet de la demande de permis de projet d’immobilisations majeur avant l’échéance du 20 décembre 2019. Aucune soumission écrite en lien avec la requête</w:t>
      </w:r>
      <w:r>
        <w:rPr>
          <w:sz w:val="24"/>
          <w:szCs w:val="24"/>
          <w:lang w:val="fr-CA"/>
        </w:rPr>
        <w:t xml:space="preserve"> </w:t>
      </w:r>
      <w:r>
        <w:rPr>
          <w:color w:val="000000"/>
          <w:sz w:val="24"/>
          <w:szCs w:val="24"/>
          <w:lang w:val="fr-CA"/>
        </w:rPr>
        <w:t>n’a été reçue du public ou de toute autre partie avant cette date.</w:t>
      </w:r>
    </w:p>
    <w:p w14:paraId="74735C93" w14:textId="77777777" w:rsidR="00385301" w:rsidRDefault="00385301">
      <w:pPr>
        <w:pBdr>
          <w:top w:val="nil"/>
          <w:left w:val="nil"/>
          <w:bottom w:val="nil"/>
          <w:right w:val="nil"/>
          <w:between w:val="nil"/>
        </w:pBdr>
        <w:rPr>
          <w:color w:val="000000"/>
          <w:sz w:val="24"/>
          <w:szCs w:val="24"/>
        </w:rPr>
      </w:pPr>
    </w:p>
    <w:p w14:paraId="08B35D0E" w14:textId="77777777" w:rsidR="00385301" w:rsidRDefault="00882D31">
      <w:pPr>
        <w:numPr>
          <w:ilvl w:val="2"/>
          <w:numId w:val="4"/>
        </w:numPr>
        <w:pBdr>
          <w:top w:val="nil"/>
          <w:left w:val="nil"/>
          <w:bottom w:val="nil"/>
          <w:right w:val="nil"/>
          <w:between w:val="nil"/>
        </w:pBdr>
        <w:tabs>
          <w:tab w:val="left" w:pos="885"/>
        </w:tabs>
        <w:spacing w:line="360" w:lineRule="auto"/>
        <w:ind w:right="120"/>
        <w:jc w:val="both"/>
        <w:rPr>
          <w:color w:val="000000"/>
          <w:sz w:val="24"/>
          <w:szCs w:val="24"/>
        </w:rPr>
      </w:pPr>
      <w:r>
        <w:rPr>
          <w:color w:val="000000"/>
          <w:sz w:val="24"/>
          <w:szCs w:val="24"/>
          <w:lang w:val="fr-CA"/>
        </w:rPr>
        <w:t xml:space="preserve">Le 20 décembre 2019, la </w:t>
      </w:r>
      <w:proofErr w:type="spellStart"/>
      <w:r>
        <w:rPr>
          <w:color w:val="000000"/>
          <w:sz w:val="24"/>
          <w:szCs w:val="24"/>
          <w:lang w:val="fr-CA"/>
        </w:rPr>
        <w:t>SÉQ</w:t>
      </w:r>
      <w:proofErr w:type="spellEnd"/>
      <w:r>
        <w:rPr>
          <w:color w:val="000000"/>
          <w:sz w:val="24"/>
          <w:szCs w:val="24"/>
          <w:lang w:val="fr-CA"/>
        </w:rPr>
        <w:t xml:space="preserve"> a répondu à un cycle de demandes d’information de la part du </w:t>
      </w:r>
      <w:proofErr w:type="spellStart"/>
      <w:r>
        <w:rPr>
          <w:color w:val="000000"/>
          <w:sz w:val="24"/>
          <w:szCs w:val="24"/>
          <w:lang w:val="fr-CA"/>
        </w:rPr>
        <w:t>CETES</w:t>
      </w:r>
      <w:proofErr w:type="spellEnd"/>
      <w:r>
        <w:rPr>
          <w:color w:val="000000"/>
          <w:sz w:val="24"/>
          <w:szCs w:val="24"/>
          <w:lang w:val="fr-CA"/>
        </w:rPr>
        <w:t>.</w:t>
      </w:r>
    </w:p>
    <w:p w14:paraId="64059A0E" w14:textId="77777777" w:rsidR="00385301" w:rsidRDefault="00385301">
      <w:pPr>
        <w:spacing w:line="360" w:lineRule="auto"/>
        <w:jc w:val="both"/>
        <w:rPr>
          <w:sz w:val="24"/>
          <w:szCs w:val="24"/>
        </w:rPr>
        <w:sectPr w:rsidR="00385301" w:rsidSect="00F24A93">
          <w:pgSz w:w="12240" w:h="15840" w:code="1"/>
          <w:pgMar w:top="1440" w:right="1310" w:bottom="1138" w:left="1310" w:header="720" w:footer="720" w:gutter="0"/>
          <w:cols w:space="720" w:equalWidth="0">
            <w:col w:w="9370"/>
          </w:cols>
        </w:sectPr>
      </w:pPr>
    </w:p>
    <w:p w14:paraId="45F3FF3A" w14:textId="77777777" w:rsidR="00385301" w:rsidRPr="00F736F1" w:rsidRDefault="00882D31" w:rsidP="004033EA">
      <w:pPr>
        <w:pStyle w:val="URRCHeading1"/>
      </w:pPr>
      <w:bookmarkStart w:id="17" w:name="_heading=h.lnxbz9" w:colFirst="0" w:colLast="0"/>
      <w:bookmarkStart w:id="18" w:name="bookmark=id.26in1rg" w:colFirst="0" w:colLast="0"/>
      <w:bookmarkStart w:id="19" w:name="_Toc84252930"/>
      <w:bookmarkEnd w:id="17"/>
      <w:bookmarkEnd w:id="18"/>
      <w:r>
        <w:rPr>
          <w:bCs/>
          <w:lang w:val="fr-CA"/>
        </w:rPr>
        <w:lastRenderedPageBreak/>
        <w:t>EXAMEN DE LA DEMANDE</w:t>
      </w:r>
      <w:bookmarkEnd w:id="19"/>
    </w:p>
    <w:p w14:paraId="3C931C60" w14:textId="77777777" w:rsidR="00385301" w:rsidRPr="00F24A93" w:rsidRDefault="00385301">
      <w:pPr>
        <w:pBdr>
          <w:top w:val="nil"/>
          <w:left w:val="nil"/>
          <w:bottom w:val="nil"/>
          <w:right w:val="nil"/>
          <w:between w:val="nil"/>
        </w:pBdr>
        <w:rPr>
          <w:b/>
          <w:color w:val="000000"/>
          <w:sz w:val="24"/>
          <w:szCs w:val="24"/>
        </w:rPr>
      </w:pPr>
    </w:p>
    <w:p w14:paraId="72B47393" w14:textId="77777777" w:rsidR="00385301" w:rsidRPr="00F736F1" w:rsidRDefault="00882D31" w:rsidP="004033EA">
      <w:pPr>
        <w:pStyle w:val="URRCHeading2"/>
      </w:pPr>
      <w:bookmarkStart w:id="20" w:name="_heading=h.1ksv4uv" w:colFirst="0" w:colLast="0"/>
      <w:bookmarkStart w:id="21" w:name="bookmark=id.35nkun2" w:colFirst="0" w:colLast="0"/>
      <w:bookmarkStart w:id="22" w:name="_Toc84252931"/>
      <w:bookmarkEnd w:id="20"/>
      <w:bookmarkEnd w:id="21"/>
      <w:r>
        <w:rPr>
          <w:bCs/>
          <w:lang w:val="fr-CA"/>
        </w:rPr>
        <w:t>BESOIN DU PROJET</w:t>
      </w:r>
      <w:bookmarkEnd w:id="22"/>
    </w:p>
    <w:p w14:paraId="0FC2D367" w14:textId="77777777" w:rsidR="00385301" w:rsidRPr="00406104" w:rsidRDefault="00385301">
      <w:pPr>
        <w:pBdr>
          <w:top w:val="nil"/>
          <w:left w:val="nil"/>
          <w:bottom w:val="nil"/>
          <w:right w:val="nil"/>
          <w:between w:val="nil"/>
        </w:pBdr>
        <w:spacing w:before="8"/>
        <w:rPr>
          <w:b/>
          <w:color w:val="000000"/>
          <w:sz w:val="28"/>
          <w:szCs w:val="28"/>
        </w:rPr>
      </w:pPr>
    </w:p>
    <w:p w14:paraId="4034D9C7"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a pris note du besoin indiqué de répondre aux préoccupations quant à la puissance, la fiabilité, l’environnement et la sécurité en lien avec la centrale actuelle. Par l’entremise de demandes d’information, le </w:t>
      </w:r>
      <w:proofErr w:type="spellStart"/>
      <w:r>
        <w:rPr>
          <w:color w:val="000000"/>
          <w:sz w:val="24"/>
          <w:szCs w:val="24"/>
          <w:lang w:val="fr-CA"/>
        </w:rPr>
        <w:t>CETES</w:t>
      </w:r>
      <w:proofErr w:type="spellEnd"/>
      <w:r>
        <w:rPr>
          <w:color w:val="000000"/>
          <w:sz w:val="24"/>
          <w:szCs w:val="24"/>
          <w:lang w:val="fr-CA"/>
        </w:rPr>
        <w:t xml:space="preserve"> a exploré plus en profondeur le besoin de puissance additionnelle et les lacunes de la centrale actuelle. Les réponses de la </w:t>
      </w:r>
      <w:proofErr w:type="spellStart"/>
      <w:r>
        <w:rPr>
          <w:color w:val="000000"/>
          <w:sz w:val="24"/>
          <w:szCs w:val="24"/>
          <w:lang w:val="fr-CA"/>
        </w:rPr>
        <w:t>SÉQ</w:t>
      </w:r>
      <w:proofErr w:type="spellEnd"/>
      <w:r>
        <w:rPr>
          <w:color w:val="000000"/>
          <w:sz w:val="24"/>
          <w:szCs w:val="24"/>
          <w:lang w:val="fr-CA"/>
        </w:rPr>
        <w:t xml:space="preserve"> ont clarifié plusieurs facettes relatives au besoin de la demande qui intéressaient le </w:t>
      </w:r>
      <w:proofErr w:type="spellStart"/>
      <w:r>
        <w:rPr>
          <w:color w:val="000000"/>
          <w:sz w:val="24"/>
          <w:szCs w:val="24"/>
          <w:lang w:val="fr-CA"/>
        </w:rPr>
        <w:t>CETES</w:t>
      </w:r>
      <w:proofErr w:type="spellEnd"/>
      <w:r>
        <w:rPr>
          <w:color w:val="000000"/>
          <w:sz w:val="24"/>
          <w:szCs w:val="24"/>
          <w:lang w:val="fr-CA"/>
        </w:rPr>
        <w:t xml:space="preserve">. </w:t>
      </w:r>
    </w:p>
    <w:p w14:paraId="46938C72" w14:textId="77777777" w:rsidR="00385301" w:rsidRDefault="00385301">
      <w:pPr>
        <w:tabs>
          <w:tab w:val="left" w:pos="885"/>
        </w:tabs>
        <w:spacing w:line="360" w:lineRule="auto"/>
        <w:ind w:left="819" w:right="117"/>
        <w:rPr>
          <w:sz w:val="24"/>
          <w:szCs w:val="24"/>
        </w:rPr>
      </w:pPr>
    </w:p>
    <w:p w14:paraId="257FD37F"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lang w:val="fr-CA"/>
        </w:rPr>
        <w:t xml:space="preserve">La </w:t>
      </w:r>
      <w:proofErr w:type="spellStart"/>
      <w:r>
        <w:rPr>
          <w:color w:val="000000"/>
          <w:sz w:val="24"/>
          <w:szCs w:val="24"/>
          <w:lang w:val="fr-CA"/>
        </w:rPr>
        <w:t>SÉQ</w:t>
      </w:r>
      <w:proofErr w:type="spellEnd"/>
      <w:r>
        <w:rPr>
          <w:color w:val="000000"/>
          <w:sz w:val="24"/>
          <w:szCs w:val="24"/>
          <w:lang w:val="fr-CA"/>
        </w:rPr>
        <w:t xml:space="preserve"> a précisé dans la demande que la puissance de la nouvelle centrale proposée répondrait aux projections relatives à la charge de pointe d’</w:t>
      </w:r>
      <w:proofErr w:type="spellStart"/>
      <w:r>
        <w:rPr>
          <w:color w:val="000000"/>
          <w:sz w:val="24"/>
          <w:szCs w:val="24"/>
          <w:lang w:val="fr-CA"/>
        </w:rPr>
        <w:t>Arctic</w:t>
      </w:r>
      <w:proofErr w:type="spellEnd"/>
      <w:r>
        <w:rPr>
          <w:color w:val="000000"/>
          <w:sz w:val="24"/>
          <w:szCs w:val="24"/>
          <w:lang w:val="fr-CA"/>
        </w:rPr>
        <w:t xml:space="preserve"> Bay pendant 40 ans. En réponse à la demande d’information </w:t>
      </w:r>
      <w:proofErr w:type="spellStart"/>
      <w:r>
        <w:rPr>
          <w:color w:val="000000"/>
          <w:sz w:val="24"/>
          <w:szCs w:val="24"/>
          <w:lang w:val="fr-CA"/>
        </w:rPr>
        <w:t>CETES</w:t>
      </w:r>
      <w:proofErr w:type="spellEnd"/>
      <w:r>
        <w:rPr>
          <w:color w:val="000000"/>
          <w:sz w:val="24"/>
          <w:szCs w:val="24"/>
          <w:lang w:val="fr-CA"/>
        </w:rPr>
        <w:t>-</w:t>
      </w:r>
      <w:proofErr w:type="spellStart"/>
      <w:r>
        <w:rPr>
          <w:color w:val="000000"/>
          <w:sz w:val="24"/>
          <w:szCs w:val="24"/>
          <w:lang w:val="fr-CA"/>
        </w:rPr>
        <w:t>SÉQ</w:t>
      </w:r>
      <w:proofErr w:type="spellEnd"/>
      <w:r>
        <w:rPr>
          <w:color w:val="000000"/>
          <w:sz w:val="24"/>
          <w:szCs w:val="24"/>
          <w:lang w:val="fr-CA"/>
        </w:rPr>
        <w:t xml:space="preserve">-2, la </w:t>
      </w:r>
      <w:proofErr w:type="spellStart"/>
      <w:r>
        <w:rPr>
          <w:color w:val="000000"/>
          <w:sz w:val="24"/>
          <w:szCs w:val="24"/>
          <w:lang w:val="fr-CA"/>
        </w:rPr>
        <w:t>SÉQ</w:t>
      </w:r>
      <w:proofErr w:type="spellEnd"/>
      <w:r>
        <w:rPr>
          <w:color w:val="000000"/>
          <w:sz w:val="24"/>
          <w:szCs w:val="24"/>
          <w:lang w:val="fr-CA"/>
        </w:rPr>
        <w:t xml:space="preserve"> a fourni les projections de population et de charge de pointe auxquelles elle souhaite répondre. Le </w:t>
      </w:r>
      <w:proofErr w:type="spellStart"/>
      <w:r>
        <w:rPr>
          <w:color w:val="000000"/>
          <w:sz w:val="24"/>
          <w:szCs w:val="24"/>
          <w:lang w:val="fr-CA"/>
        </w:rPr>
        <w:t>CETES</w:t>
      </w:r>
      <w:proofErr w:type="spellEnd"/>
      <w:r>
        <w:rPr>
          <w:color w:val="000000"/>
          <w:sz w:val="24"/>
          <w:szCs w:val="24"/>
          <w:lang w:val="fr-CA"/>
        </w:rPr>
        <w:t xml:space="preserve"> accepte que la centrale actuelle ne respecte pas le critère de </w:t>
      </w:r>
      <w:proofErr w:type="spellStart"/>
      <w:r>
        <w:rPr>
          <w:color w:val="000000"/>
          <w:sz w:val="24"/>
          <w:szCs w:val="24"/>
          <w:lang w:val="fr-CA"/>
        </w:rPr>
        <w:t>PGR</w:t>
      </w:r>
      <w:proofErr w:type="spellEnd"/>
      <w:r>
        <w:rPr>
          <w:color w:val="000000"/>
          <w:sz w:val="24"/>
          <w:szCs w:val="24"/>
          <w:lang w:val="fr-CA"/>
        </w:rPr>
        <w:t xml:space="preserve"> de la </w:t>
      </w:r>
      <w:proofErr w:type="spellStart"/>
      <w:r>
        <w:rPr>
          <w:color w:val="000000"/>
          <w:sz w:val="24"/>
          <w:szCs w:val="24"/>
          <w:lang w:val="fr-CA"/>
        </w:rPr>
        <w:t>SÉQ</w:t>
      </w:r>
      <w:proofErr w:type="spellEnd"/>
      <w:r>
        <w:rPr>
          <w:color w:val="000000"/>
          <w:sz w:val="24"/>
          <w:szCs w:val="24"/>
          <w:lang w:val="fr-CA"/>
        </w:rPr>
        <w:t xml:space="preserve"> et que cette insuffisance serait de l’ordre de 40 % d’ici 2027. En outre, on prévoit une croissance de la demande maximale bien au-delà de la puissance installée de la centrale électrique actuelle bien avant la période de 40 ans.</w:t>
      </w:r>
    </w:p>
    <w:p w14:paraId="33E1800F" w14:textId="77777777" w:rsidR="00385301" w:rsidRDefault="00385301">
      <w:pPr>
        <w:pBdr>
          <w:top w:val="nil"/>
          <w:left w:val="nil"/>
          <w:bottom w:val="nil"/>
          <w:right w:val="nil"/>
          <w:between w:val="nil"/>
        </w:pBdr>
        <w:ind w:left="884" w:hanging="360"/>
        <w:jc w:val="both"/>
        <w:rPr>
          <w:color w:val="000000"/>
          <w:sz w:val="24"/>
          <w:szCs w:val="24"/>
        </w:rPr>
      </w:pPr>
    </w:p>
    <w:p w14:paraId="6CFA9FE1"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lang w:val="fr-CA"/>
        </w:rPr>
        <w:t xml:space="preserve">Dans la demande, la </w:t>
      </w:r>
      <w:proofErr w:type="spellStart"/>
      <w:r>
        <w:rPr>
          <w:color w:val="000000"/>
          <w:sz w:val="24"/>
          <w:szCs w:val="24"/>
          <w:lang w:val="fr-CA"/>
        </w:rPr>
        <w:t>SÉQ</w:t>
      </w:r>
      <w:proofErr w:type="spellEnd"/>
      <w:r>
        <w:rPr>
          <w:color w:val="000000"/>
          <w:sz w:val="24"/>
          <w:szCs w:val="24"/>
          <w:lang w:val="fr-CA"/>
        </w:rPr>
        <w:t xml:space="preserve"> a indiqué un certain nombre de lacunes de la centrale actuelle. En réponse à la demande d’information </w:t>
      </w:r>
      <w:proofErr w:type="spellStart"/>
      <w:r>
        <w:rPr>
          <w:color w:val="000000"/>
          <w:sz w:val="24"/>
          <w:szCs w:val="24"/>
          <w:lang w:val="fr-CA"/>
        </w:rPr>
        <w:t>CETES</w:t>
      </w:r>
      <w:proofErr w:type="spellEnd"/>
      <w:r>
        <w:rPr>
          <w:color w:val="000000"/>
          <w:sz w:val="24"/>
          <w:szCs w:val="24"/>
          <w:lang w:val="fr-CA"/>
        </w:rPr>
        <w:t>-</w:t>
      </w:r>
      <w:proofErr w:type="spellStart"/>
      <w:r>
        <w:rPr>
          <w:color w:val="000000"/>
          <w:sz w:val="24"/>
          <w:szCs w:val="24"/>
          <w:lang w:val="fr-CA"/>
        </w:rPr>
        <w:t>SÉQ</w:t>
      </w:r>
      <w:proofErr w:type="spellEnd"/>
      <w:r>
        <w:rPr>
          <w:color w:val="000000"/>
          <w:sz w:val="24"/>
          <w:szCs w:val="24"/>
          <w:lang w:val="fr-CA"/>
        </w:rPr>
        <w:t xml:space="preserve">-1, la </w:t>
      </w:r>
      <w:proofErr w:type="spellStart"/>
      <w:r>
        <w:rPr>
          <w:color w:val="000000"/>
          <w:sz w:val="24"/>
          <w:szCs w:val="24"/>
          <w:lang w:val="fr-CA"/>
        </w:rPr>
        <w:t>SÉQ</w:t>
      </w:r>
      <w:proofErr w:type="spellEnd"/>
      <w:r>
        <w:rPr>
          <w:color w:val="000000"/>
          <w:sz w:val="24"/>
          <w:szCs w:val="24"/>
          <w:lang w:val="fr-CA"/>
        </w:rPr>
        <w:t xml:space="preserve"> a fourni des renseignements additionnels sur l’état de la centrale, y compris les groupes électrogènes, les installations, les réservoirs de carburant et les infrastructures connexes. Le </w:t>
      </w:r>
      <w:proofErr w:type="spellStart"/>
      <w:r>
        <w:rPr>
          <w:color w:val="000000"/>
          <w:sz w:val="24"/>
          <w:szCs w:val="24"/>
          <w:lang w:val="fr-CA"/>
        </w:rPr>
        <w:t>CETES</w:t>
      </w:r>
      <w:proofErr w:type="spellEnd"/>
      <w:r>
        <w:rPr>
          <w:color w:val="000000"/>
          <w:sz w:val="24"/>
          <w:szCs w:val="24"/>
          <w:lang w:val="fr-CA"/>
        </w:rPr>
        <w:t xml:space="preserve"> prend note que :</w:t>
      </w:r>
    </w:p>
    <w:p w14:paraId="222CF081"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le</w:t>
      </w:r>
      <w:proofErr w:type="gramEnd"/>
      <w:r>
        <w:rPr>
          <w:color w:val="000000"/>
          <w:sz w:val="24"/>
          <w:szCs w:val="24"/>
          <w:lang w:val="fr-CA"/>
        </w:rPr>
        <w:t xml:space="preserve"> groupe électrogène G1 a été installé en 1995 et s’approche des 100 000 heures de fonctionnement;</w:t>
      </w:r>
    </w:p>
    <w:p w14:paraId="31135BA2"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le</w:t>
      </w:r>
      <w:proofErr w:type="gramEnd"/>
      <w:r>
        <w:rPr>
          <w:color w:val="000000"/>
          <w:sz w:val="24"/>
          <w:szCs w:val="24"/>
          <w:lang w:val="fr-CA"/>
        </w:rPr>
        <w:t xml:space="preserve"> groupe électrogène G2 a été installé en 1995, mais a fait l’objet de réparations considérables depuis 2015. La </w:t>
      </w:r>
      <w:proofErr w:type="spellStart"/>
      <w:r>
        <w:rPr>
          <w:color w:val="000000"/>
          <w:sz w:val="24"/>
          <w:szCs w:val="24"/>
          <w:lang w:val="fr-CA"/>
        </w:rPr>
        <w:t>SÉQ</w:t>
      </w:r>
      <w:proofErr w:type="spellEnd"/>
      <w:r>
        <w:rPr>
          <w:color w:val="000000"/>
          <w:sz w:val="24"/>
          <w:szCs w:val="24"/>
          <w:lang w:val="fr-CA"/>
        </w:rPr>
        <w:t xml:space="preserve"> a indiqué que, malgré le nombre bas d’heures de fonctionnement depuis la remise en état, l’unité n’est pas fiable;</w:t>
      </w:r>
    </w:p>
    <w:p w14:paraId="4EAF165D" w14:textId="3E77BEA3"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le</w:t>
      </w:r>
      <w:proofErr w:type="gramEnd"/>
      <w:r>
        <w:rPr>
          <w:color w:val="000000"/>
          <w:sz w:val="24"/>
          <w:szCs w:val="24"/>
          <w:lang w:val="fr-CA"/>
        </w:rPr>
        <w:t xml:space="preserve"> groupe électrogène G3 a été installé en 2018, mais a fait l’objet de réparations considérables en 2019. Ce type d’unité n’est plus fabriquée depuis environ </w:t>
      </w:r>
      <w:r w:rsidR="006B7845">
        <w:rPr>
          <w:color w:val="000000"/>
          <w:sz w:val="24"/>
          <w:szCs w:val="24"/>
          <w:lang w:val="fr-CA"/>
        </w:rPr>
        <w:t>10 </w:t>
      </w:r>
      <w:r>
        <w:rPr>
          <w:color w:val="000000"/>
          <w:sz w:val="24"/>
          <w:szCs w:val="24"/>
          <w:lang w:val="fr-CA"/>
        </w:rPr>
        <w:t>ans;</w:t>
      </w:r>
    </w:p>
    <w:p w14:paraId="2DF9D6B0"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lastRenderedPageBreak/>
        <w:t>le</w:t>
      </w:r>
      <w:proofErr w:type="gramEnd"/>
      <w:r>
        <w:rPr>
          <w:color w:val="000000"/>
          <w:sz w:val="24"/>
          <w:szCs w:val="24"/>
          <w:lang w:val="fr-CA"/>
        </w:rPr>
        <w:t xml:space="preserve"> réservoir de carburant et la berme ont 27 ans et s’approchent de la fin de vie utile de 30 à 40 ans;</w:t>
      </w:r>
    </w:p>
    <w:p w14:paraId="64ADDCCD"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le</w:t>
      </w:r>
      <w:proofErr w:type="gramEnd"/>
      <w:r>
        <w:rPr>
          <w:color w:val="000000"/>
          <w:sz w:val="24"/>
          <w:szCs w:val="24"/>
          <w:lang w:val="fr-CA"/>
        </w:rPr>
        <w:t xml:space="preserve"> bâtiment est détérioré et les fondations s’affaissent;</w:t>
      </w:r>
    </w:p>
    <w:p w14:paraId="7CFC8D85"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le</w:t>
      </w:r>
      <w:proofErr w:type="gramEnd"/>
      <w:r>
        <w:rPr>
          <w:color w:val="000000"/>
          <w:sz w:val="24"/>
          <w:szCs w:val="24"/>
          <w:lang w:val="fr-CA"/>
        </w:rPr>
        <w:t xml:space="preserve"> système d’alimentation en carburant est vieux et s’approche de sa fin de vie utile;</w:t>
      </w:r>
    </w:p>
    <w:p w14:paraId="7FCE1A7A"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la</w:t>
      </w:r>
      <w:proofErr w:type="gramEnd"/>
      <w:r>
        <w:rPr>
          <w:color w:val="000000"/>
          <w:sz w:val="24"/>
          <w:szCs w:val="24"/>
          <w:lang w:val="fr-CA"/>
        </w:rPr>
        <w:t xml:space="preserve"> centrale actuelle ne peut pas accueillir l’intégration d’énergie renouvelable en raison du manque d’espace et d’un appareillage de commutation inadéquat;</w:t>
      </w:r>
    </w:p>
    <w:p w14:paraId="20DAC191" w14:textId="12D954C6"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proofErr w:type="gramStart"/>
      <w:r>
        <w:rPr>
          <w:color w:val="000000"/>
          <w:sz w:val="24"/>
          <w:szCs w:val="24"/>
          <w:lang w:val="fr-CA"/>
        </w:rPr>
        <w:t>en</w:t>
      </w:r>
      <w:proofErr w:type="gramEnd"/>
      <w:r>
        <w:rPr>
          <w:color w:val="000000"/>
          <w:sz w:val="24"/>
          <w:szCs w:val="24"/>
          <w:lang w:val="fr-CA"/>
        </w:rPr>
        <w:t xml:space="preserve"> 2019, les statistiques de fiabilité pour la centrale électrique étaient de 0,</w:t>
      </w:r>
      <w:r w:rsidR="006B7845">
        <w:rPr>
          <w:color w:val="000000"/>
          <w:sz w:val="24"/>
          <w:szCs w:val="24"/>
          <w:lang w:val="fr-CA"/>
        </w:rPr>
        <w:t>25 </w:t>
      </w:r>
      <w:r>
        <w:rPr>
          <w:color w:val="000000"/>
          <w:sz w:val="24"/>
          <w:szCs w:val="24"/>
          <w:lang w:val="fr-CA"/>
        </w:rPr>
        <w:t>heure pour le SAIDI</w:t>
      </w:r>
      <w:r>
        <w:rPr>
          <w:rStyle w:val="FootnoteReference"/>
          <w:color w:val="000000"/>
          <w:sz w:val="24"/>
          <w:szCs w:val="24"/>
          <w:lang w:val="fr-CA"/>
        </w:rPr>
        <w:footnoteReference w:id="1"/>
      </w:r>
      <w:r>
        <w:rPr>
          <w:color w:val="000000"/>
          <w:sz w:val="24"/>
          <w:szCs w:val="24"/>
          <w:lang w:val="fr-CA"/>
        </w:rPr>
        <w:t xml:space="preserve"> et de 3,59 pour le </w:t>
      </w:r>
      <w:proofErr w:type="spellStart"/>
      <w:r>
        <w:rPr>
          <w:color w:val="000000"/>
          <w:sz w:val="24"/>
          <w:szCs w:val="24"/>
          <w:lang w:val="fr-CA"/>
        </w:rPr>
        <w:t>SAIFI</w:t>
      </w:r>
      <w:proofErr w:type="spellEnd"/>
      <w:r>
        <w:rPr>
          <w:rStyle w:val="FootnoteReference"/>
          <w:color w:val="000000"/>
          <w:sz w:val="24"/>
          <w:szCs w:val="24"/>
          <w:lang w:val="fr-CA"/>
        </w:rPr>
        <w:footnoteReference w:id="2"/>
      </w:r>
      <w:r>
        <w:rPr>
          <w:color w:val="000000"/>
          <w:sz w:val="24"/>
          <w:szCs w:val="24"/>
          <w:lang w:val="fr-CA"/>
        </w:rPr>
        <w:t>.</w:t>
      </w:r>
    </w:p>
    <w:p w14:paraId="0340AC46" w14:textId="77777777" w:rsidR="00385301" w:rsidRDefault="00882D31">
      <w:pPr>
        <w:numPr>
          <w:ilvl w:val="2"/>
          <w:numId w:val="4"/>
        </w:numPr>
        <w:pBdr>
          <w:top w:val="nil"/>
          <w:left w:val="nil"/>
          <w:bottom w:val="nil"/>
          <w:right w:val="nil"/>
          <w:between w:val="nil"/>
        </w:pBdr>
        <w:tabs>
          <w:tab w:val="left" w:pos="885"/>
        </w:tabs>
        <w:spacing w:before="90" w:line="360" w:lineRule="auto"/>
        <w:ind w:right="115"/>
        <w:jc w:val="both"/>
        <w:rPr>
          <w:color w:val="000000"/>
          <w:sz w:val="24"/>
          <w:szCs w:val="24"/>
        </w:rPr>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accepte que l’état de la centrale électrique actuelle, y compris les trois groupes électrogènes et les infrastructures connexes, s’approchent de la fin de leur vie utile. </w:t>
      </w:r>
    </w:p>
    <w:p w14:paraId="631DAFAD" w14:textId="77777777" w:rsidR="00385301" w:rsidRDefault="00882D31">
      <w:pPr>
        <w:numPr>
          <w:ilvl w:val="2"/>
          <w:numId w:val="4"/>
        </w:numPr>
        <w:pBdr>
          <w:top w:val="nil"/>
          <w:left w:val="nil"/>
          <w:bottom w:val="nil"/>
          <w:right w:val="nil"/>
          <w:between w:val="nil"/>
        </w:pBdr>
        <w:tabs>
          <w:tab w:val="left" w:pos="885"/>
        </w:tabs>
        <w:spacing w:before="90" w:line="360" w:lineRule="auto"/>
        <w:ind w:right="115"/>
        <w:jc w:val="both"/>
        <w:rPr>
          <w:color w:val="000000"/>
          <w:sz w:val="24"/>
          <w:szCs w:val="24"/>
        </w:rPr>
      </w:pPr>
      <w:r>
        <w:rPr>
          <w:color w:val="000000"/>
          <w:sz w:val="24"/>
          <w:szCs w:val="24"/>
          <w:lang w:val="fr-CA"/>
        </w:rPr>
        <w:t xml:space="preserve">Compte tenu de ce qui précède, le </w:t>
      </w:r>
      <w:proofErr w:type="spellStart"/>
      <w:r>
        <w:rPr>
          <w:color w:val="000000"/>
          <w:sz w:val="24"/>
          <w:szCs w:val="24"/>
          <w:lang w:val="fr-CA"/>
        </w:rPr>
        <w:t>CETES</w:t>
      </w:r>
      <w:proofErr w:type="spellEnd"/>
      <w:r>
        <w:rPr>
          <w:color w:val="000000"/>
          <w:sz w:val="24"/>
          <w:szCs w:val="24"/>
          <w:lang w:val="fr-CA"/>
        </w:rPr>
        <w:t xml:space="preserve"> estime que le remplacement de la centrale actuelle par une nouvelle centrale plus grande est nécessaire. Le </w:t>
      </w:r>
      <w:proofErr w:type="spellStart"/>
      <w:r>
        <w:rPr>
          <w:color w:val="000000"/>
          <w:sz w:val="24"/>
          <w:szCs w:val="24"/>
          <w:lang w:val="fr-CA"/>
        </w:rPr>
        <w:t>CETES</w:t>
      </w:r>
      <w:proofErr w:type="spellEnd"/>
      <w:r>
        <w:rPr>
          <w:color w:val="000000"/>
          <w:sz w:val="24"/>
          <w:szCs w:val="24"/>
          <w:lang w:val="fr-CA"/>
        </w:rPr>
        <w:t xml:space="preserve"> est d’accord avec la </w:t>
      </w:r>
      <w:proofErr w:type="spellStart"/>
      <w:r>
        <w:rPr>
          <w:color w:val="000000"/>
          <w:sz w:val="24"/>
          <w:szCs w:val="24"/>
          <w:lang w:val="fr-CA"/>
        </w:rPr>
        <w:t>SÉQ</w:t>
      </w:r>
      <w:proofErr w:type="spellEnd"/>
      <w:r>
        <w:rPr>
          <w:color w:val="000000"/>
          <w:sz w:val="24"/>
          <w:szCs w:val="24"/>
          <w:lang w:val="fr-CA"/>
        </w:rPr>
        <w:t xml:space="preserve"> que de ne rien faire n’est pas une option. Les groupes électrogènes, les réservoirs de carburant et l’emplacement de la centrale actuelle, de même que les bâtiments et les infrastructures connexes ne semblent pas pouvoir continuer d’assurer un service fiable et sécuritaire à </w:t>
      </w:r>
      <w:proofErr w:type="spellStart"/>
      <w:r>
        <w:rPr>
          <w:color w:val="000000"/>
          <w:sz w:val="24"/>
          <w:szCs w:val="24"/>
          <w:lang w:val="fr-CA"/>
        </w:rPr>
        <w:t>Arctic</w:t>
      </w:r>
      <w:proofErr w:type="spellEnd"/>
      <w:r>
        <w:rPr>
          <w:color w:val="000000"/>
          <w:sz w:val="24"/>
          <w:szCs w:val="24"/>
          <w:lang w:val="fr-CA"/>
        </w:rPr>
        <w:t xml:space="preserve"> Bay</w:t>
      </w:r>
      <w:r>
        <w:rPr>
          <w:sz w:val="24"/>
          <w:szCs w:val="24"/>
          <w:lang w:val="fr-CA"/>
        </w:rPr>
        <w:t>.</w:t>
      </w:r>
    </w:p>
    <w:p w14:paraId="04E96D2D" w14:textId="77777777" w:rsidR="00385301" w:rsidRDefault="00385301">
      <w:pPr>
        <w:pBdr>
          <w:top w:val="nil"/>
          <w:left w:val="nil"/>
          <w:bottom w:val="nil"/>
          <w:right w:val="nil"/>
          <w:between w:val="nil"/>
        </w:pBdr>
        <w:rPr>
          <w:color w:val="000000"/>
          <w:sz w:val="38"/>
          <w:szCs w:val="38"/>
        </w:rPr>
      </w:pPr>
    </w:p>
    <w:p w14:paraId="0A0DFBFE" w14:textId="77777777" w:rsidR="00385301" w:rsidRPr="0084378C" w:rsidRDefault="00882D31" w:rsidP="004033EA">
      <w:pPr>
        <w:pStyle w:val="URRCHeading2"/>
      </w:pPr>
      <w:bookmarkStart w:id="23" w:name="_heading=h.2jxsxqh" w:colFirst="0" w:colLast="0"/>
      <w:bookmarkStart w:id="24" w:name="bookmark=id.44sinio" w:colFirst="0" w:colLast="0"/>
      <w:bookmarkStart w:id="25" w:name="_Toc84252932"/>
      <w:bookmarkEnd w:id="23"/>
      <w:bookmarkEnd w:id="24"/>
      <w:r>
        <w:rPr>
          <w:bCs/>
          <w:lang w:val="fr-CA"/>
        </w:rPr>
        <w:t>AUTRES OPTIONS POUR RÉPONDRE AU BESOIN</w:t>
      </w:r>
      <w:bookmarkEnd w:id="25"/>
    </w:p>
    <w:p w14:paraId="5588EBEE" w14:textId="77777777" w:rsidR="00385301" w:rsidRPr="0084378C" w:rsidRDefault="00385301">
      <w:pPr>
        <w:pBdr>
          <w:top w:val="nil"/>
          <w:left w:val="nil"/>
          <w:bottom w:val="nil"/>
          <w:right w:val="nil"/>
          <w:between w:val="nil"/>
        </w:pBdr>
        <w:spacing w:before="8"/>
        <w:rPr>
          <w:b/>
          <w:color w:val="000000"/>
          <w:sz w:val="28"/>
          <w:szCs w:val="28"/>
        </w:rPr>
      </w:pPr>
    </w:p>
    <w:p w14:paraId="00CFED32"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color w:val="000000"/>
          <w:sz w:val="24"/>
          <w:szCs w:val="24"/>
          <w:lang w:val="fr-CA"/>
        </w:rPr>
        <w:t xml:space="preserve">Tel qu’il est indiqué ci-dessus, la </w:t>
      </w:r>
      <w:proofErr w:type="spellStart"/>
      <w:r>
        <w:rPr>
          <w:color w:val="000000"/>
          <w:sz w:val="24"/>
          <w:szCs w:val="24"/>
          <w:lang w:val="fr-CA"/>
        </w:rPr>
        <w:t>SÉQ</w:t>
      </w:r>
      <w:proofErr w:type="spellEnd"/>
      <w:r>
        <w:rPr>
          <w:color w:val="000000"/>
          <w:sz w:val="24"/>
          <w:szCs w:val="24"/>
          <w:lang w:val="fr-CA"/>
        </w:rPr>
        <w:t xml:space="preserve"> a présenté deux options de projet dans le cadre de la demande. Cependant, l’option de mettre à niveau et de remplacer les principaux composants et systèmes de la centrale actuelle n’était pas considérée viable. La </w:t>
      </w:r>
      <w:proofErr w:type="spellStart"/>
      <w:r>
        <w:rPr>
          <w:color w:val="000000"/>
          <w:sz w:val="24"/>
          <w:szCs w:val="24"/>
          <w:lang w:val="fr-CA"/>
        </w:rPr>
        <w:t>SÉQ</w:t>
      </w:r>
      <w:proofErr w:type="spellEnd"/>
      <w:r>
        <w:rPr>
          <w:color w:val="000000"/>
          <w:sz w:val="24"/>
          <w:szCs w:val="24"/>
          <w:lang w:val="fr-CA"/>
        </w:rPr>
        <w:t xml:space="preserve"> a indiqué que la mise à niveau et le remplacement n’étaient pas faisables du point de vue technique en raison des facteurs précisés ci-dessus, principalement l’âge et le degré de détérioration de l’équipement et de la petite empreinte de l’emplacement de la centrale. Le </w:t>
      </w:r>
      <w:proofErr w:type="spellStart"/>
      <w:r>
        <w:rPr>
          <w:color w:val="000000"/>
          <w:sz w:val="24"/>
          <w:szCs w:val="24"/>
          <w:lang w:val="fr-CA"/>
        </w:rPr>
        <w:t>CETES</w:t>
      </w:r>
      <w:proofErr w:type="spellEnd"/>
      <w:r>
        <w:rPr>
          <w:color w:val="000000"/>
          <w:sz w:val="24"/>
          <w:szCs w:val="24"/>
          <w:lang w:val="fr-CA"/>
        </w:rPr>
        <w:t xml:space="preserve"> convient que la mise à niveau et le remplacement à l’emplacement de la </w:t>
      </w:r>
      <w:r>
        <w:rPr>
          <w:color w:val="000000"/>
          <w:sz w:val="24"/>
          <w:szCs w:val="24"/>
          <w:lang w:val="fr-CA"/>
        </w:rPr>
        <w:lastRenderedPageBreak/>
        <w:t>centrale actuelle ne constituent pas une approche prudente.</w:t>
      </w:r>
    </w:p>
    <w:p w14:paraId="43CB4193" w14:textId="77777777" w:rsidR="00385301" w:rsidRDefault="00385301">
      <w:pPr>
        <w:pBdr>
          <w:top w:val="nil"/>
          <w:left w:val="nil"/>
          <w:bottom w:val="nil"/>
          <w:right w:val="nil"/>
          <w:between w:val="nil"/>
        </w:pBdr>
        <w:tabs>
          <w:tab w:val="left" w:pos="885"/>
        </w:tabs>
        <w:spacing w:line="360" w:lineRule="auto"/>
        <w:ind w:left="884" w:right="117"/>
        <w:jc w:val="both"/>
        <w:rPr>
          <w:color w:val="000000"/>
          <w:sz w:val="24"/>
          <w:szCs w:val="24"/>
        </w:rPr>
      </w:pPr>
    </w:p>
    <w:p w14:paraId="679F76E6" w14:textId="2F1FFE8B" w:rsidR="00385301" w:rsidRDefault="006B7845">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color w:val="000000"/>
          <w:sz w:val="24"/>
          <w:szCs w:val="24"/>
          <w:lang w:val="fr-CA"/>
        </w:rPr>
        <w:t xml:space="preserve">Le </w:t>
      </w:r>
      <w:proofErr w:type="spellStart"/>
      <w:r w:rsidR="00882D31">
        <w:rPr>
          <w:color w:val="000000"/>
          <w:sz w:val="24"/>
          <w:szCs w:val="24"/>
          <w:lang w:val="fr-CA"/>
        </w:rPr>
        <w:t>CETES</w:t>
      </w:r>
      <w:proofErr w:type="spellEnd"/>
      <w:r w:rsidR="00882D31">
        <w:rPr>
          <w:color w:val="000000"/>
          <w:sz w:val="24"/>
          <w:szCs w:val="24"/>
          <w:lang w:val="fr-CA"/>
        </w:rPr>
        <w:t xml:space="preserve"> souligne que la </w:t>
      </w:r>
      <w:proofErr w:type="spellStart"/>
      <w:r w:rsidR="00882D31">
        <w:rPr>
          <w:color w:val="000000"/>
          <w:sz w:val="24"/>
          <w:szCs w:val="24"/>
          <w:lang w:val="fr-CA"/>
        </w:rPr>
        <w:t>SÉQ</w:t>
      </w:r>
      <w:proofErr w:type="spellEnd"/>
      <w:r w:rsidR="00882D31">
        <w:rPr>
          <w:color w:val="000000"/>
          <w:sz w:val="24"/>
          <w:szCs w:val="24"/>
          <w:lang w:val="fr-CA"/>
        </w:rPr>
        <w:t xml:space="preserve"> n’a présenté qu’une autre option viable dans la demande. Par l’entremise des demandes d’information </w:t>
      </w:r>
      <w:proofErr w:type="spellStart"/>
      <w:r w:rsidR="00882D31">
        <w:rPr>
          <w:color w:val="000000"/>
          <w:sz w:val="24"/>
          <w:szCs w:val="24"/>
          <w:lang w:val="fr-CA"/>
        </w:rPr>
        <w:t>CETES</w:t>
      </w:r>
      <w:proofErr w:type="spellEnd"/>
      <w:r w:rsidR="00882D31">
        <w:rPr>
          <w:color w:val="000000"/>
          <w:sz w:val="24"/>
          <w:szCs w:val="24"/>
          <w:lang w:val="fr-CA"/>
        </w:rPr>
        <w:t>-</w:t>
      </w:r>
      <w:proofErr w:type="spellStart"/>
      <w:r w:rsidR="00882D31">
        <w:rPr>
          <w:color w:val="000000"/>
          <w:sz w:val="24"/>
          <w:szCs w:val="24"/>
          <w:lang w:val="fr-CA"/>
        </w:rPr>
        <w:t>SÉQ</w:t>
      </w:r>
      <w:proofErr w:type="spellEnd"/>
      <w:r w:rsidR="00882D31">
        <w:rPr>
          <w:color w:val="000000"/>
          <w:sz w:val="24"/>
          <w:szCs w:val="24"/>
          <w:lang w:val="fr-CA"/>
        </w:rPr>
        <w:t xml:space="preserve">-3 à </w:t>
      </w:r>
      <w:proofErr w:type="spellStart"/>
      <w:r w:rsidR="00882D31">
        <w:rPr>
          <w:color w:val="000000"/>
          <w:sz w:val="24"/>
          <w:szCs w:val="24"/>
          <w:lang w:val="fr-CA"/>
        </w:rPr>
        <w:t>CETES</w:t>
      </w:r>
      <w:proofErr w:type="spellEnd"/>
      <w:r>
        <w:rPr>
          <w:color w:val="000000"/>
          <w:sz w:val="24"/>
          <w:szCs w:val="24"/>
          <w:lang w:val="fr-CA"/>
        </w:rPr>
        <w:noBreakHyphen/>
      </w:r>
      <w:proofErr w:type="spellStart"/>
      <w:r w:rsidR="00882D31">
        <w:rPr>
          <w:color w:val="000000"/>
          <w:sz w:val="24"/>
          <w:szCs w:val="24"/>
          <w:lang w:val="fr-CA"/>
        </w:rPr>
        <w:t>SÉQ</w:t>
      </w:r>
      <w:proofErr w:type="spellEnd"/>
      <w:r>
        <w:rPr>
          <w:color w:val="000000"/>
          <w:sz w:val="24"/>
          <w:szCs w:val="24"/>
          <w:lang w:val="fr-CA"/>
        </w:rPr>
        <w:noBreakHyphen/>
      </w:r>
      <w:r w:rsidR="00882D31">
        <w:rPr>
          <w:color w:val="000000"/>
          <w:sz w:val="24"/>
          <w:szCs w:val="24"/>
          <w:lang w:val="fr-CA"/>
        </w:rPr>
        <w:t xml:space="preserve">7, </w:t>
      </w:r>
      <w:r>
        <w:rPr>
          <w:color w:val="000000"/>
          <w:sz w:val="24"/>
          <w:szCs w:val="24"/>
          <w:lang w:val="fr-CA"/>
        </w:rPr>
        <w:t xml:space="preserve">le </w:t>
      </w:r>
      <w:proofErr w:type="spellStart"/>
      <w:r w:rsidR="00882D31">
        <w:rPr>
          <w:color w:val="000000"/>
          <w:sz w:val="24"/>
          <w:szCs w:val="24"/>
          <w:lang w:val="fr-CA"/>
        </w:rPr>
        <w:t>CETES</w:t>
      </w:r>
      <w:proofErr w:type="spellEnd"/>
      <w:r w:rsidR="00882D31">
        <w:rPr>
          <w:color w:val="000000"/>
          <w:sz w:val="24"/>
          <w:szCs w:val="24"/>
          <w:lang w:val="fr-CA"/>
        </w:rPr>
        <w:t xml:space="preserve"> a exploré plus en détail cette option et les motifs donnés par la </w:t>
      </w:r>
      <w:proofErr w:type="spellStart"/>
      <w:r w:rsidR="00882D31">
        <w:rPr>
          <w:color w:val="000000"/>
          <w:sz w:val="24"/>
          <w:szCs w:val="24"/>
          <w:lang w:val="fr-CA"/>
        </w:rPr>
        <w:t>SÉQ</w:t>
      </w:r>
      <w:proofErr w:type="spellEnd"/>
      <w:r w:rsidR="00882D31">
        <w:rPr>
          <w:color w:val="000000"/>
          <w:sz w:val="24"/>
          <w:szCs w:val="24"/>
          <w:lang w:val="fr-CA"/>
        </w:rPr>
        <w:t xml:space="preserve"> pour la présentation d’une seule autre option viable.</w:t>
      </w:r>
    </w:p>
    <w:p w14:paraId="6BA13A55" w14:textId="77777777" w:rsidR="00385301" w:rsidRDefault="00385301">
      <w:pPr>
        <w:pBdr>
          <w:top w:val="nil"/>
          <w:left w:val="nil"/>
          <w:bottom w:val="nil"/>
          <w:right w:val="nil"/>
          <w:between w:val="nil"/>
        </w:pBdr>
        <w:ind w:left="884" w:hanging="360"/>
        <w:jc w:val="both"/>
        <w:rPr>
          <w:color w:val="000000"/>
          <w:sz w:val="24"/>
          <w:szCs w:val="24"/>
        </w:rPr>
      </w:pPr>
    </w:p>
    <w:p w14:paraId="2347B47C"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a demandé des renseignements additionnels sur la possibilité de réaffecter une partie de l’équipement actuel à la nouvelle centrale ou de conserver le groupe électrogène 2 ou 3 de la centrale actuelle à titre d’unité secondaire ou de secours. Le </w:t>
      </w:r>
      <w:proofErr w:type="spellStart"/>
      <w:r>
        <w:rPr>
          <w:color w:val="000000"/>
          <w:sz w:val="24"/>
          <w:szCs w:val="24"/>
          <w:lang w:val="fr-CA"/>
        </w:rPr>
        <w:t>CETES</w:t>
      </w:r>
      <w:proofErr w:type="spellEnd"/>
      <w:r>
        <w:rPr>
          <w:color w:val="000000"/>
          <w:sz w:val="24"/>
          <w:szCs w:val="24"/>
          <w:lang w:val="fr-CA"/>
        </w:rPr>
        <w:t xml:space="preserve"> comprenait que les unités ne pouvaient pas être mises hors service avant l’achèvement de la nouvelle centrale, mais estimait que leur état écartait l’option de poursuivre leur usage à plus long terme, sauf pour le rôle à court terme d’unité de secours décrit dans la réponse à la demande CETES-SÉQ-5 (d).</w:t>
      </w:r>
    </w:p>
    <w:p w14:paraId="10E3B837" w14:textId="77777777" w:rsidR="00385301" w:rsidRDefault="00385301">
      <w:pPr>
        <w:pBdr>
          <w:top w:val="nil"/>
          <w:left w:val="nil"/>
          <w:bottom w:val="nil"/>
          <w:right w:val="nil"/>
          <w:between w:val="nil"/>
        </w:pBdr>
        <w:ind w:left="884" w:hanging="360"/>
        <w:jc w:val="both"/>
        <w:rPr>
          <w:color w:val="000000"/>
          <w:sz w:val="24"/>
          <w:szCs w:val="24"/>
        </w:rPr>
      </w:pPr>
    </w:p>
    <w:p w14:paraId="0B1ECE2E"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a également demandé de l’information sur la possibilité d’introduire progressivement la nouvelle puissance. La </w:t>
      </w:r>
      <w:proofErr w:type="spellStart"/>
      <w:r>
        <w:rPr>
          <w:color w:val="000000"/>
          <w:sz w:val="24"/>
          <w:szCs w:val="24"/>
          <w:lang w:val="fr-CA"/>
        </w:rPr>
        <w:t>SÉQ</w:t>
      </w:r>
      <w:proofErr w:type="spellEnd"/>
      <w:r>
        <w:rPr>
          <w:color w:val="000000"/>
          <w:sz w:val="24"/>
          <w:szCs w:val="24"/>
          <w:lang w:val="fr-CA"/>
        </w:rPr>
        <w:t xml:space="preserve"> a formulé ses préoccupations quant à la fiabilité et au coût et l’admissibilité au financement du programme du Fonds pour l’énergie dans l’Arctique. Le </w:t>
      </w:r>
      <w:proofErr w:type="spellStart"/>
      <w:r>
        <w:rPr>
          <w:color w:val="000000"/>
          <w:sz w:val="24"/>
          <w:szCs w:val="24"/>
          <w:lang w:val="fr-CA"/>
        </w:rPr>
        <w:t>CETES</w:t>
      </w:r>
      <w:proofErr w:type="spellEnd"/>
      <w:r>
        <w:rPr>
          <w:color w:val="000000"/>
          <w:sz w:val="24"/>
          <w:szCs w:val="24"/>
          <w:lang w:val="fr-CA"/>
        </w:rPr>
        <w:t xml:space="preserve"> accepte que ces préoccupations puissent annuler les avantages potentiels de la mise en œuvre du projet par étape.</w:t>
      </w:r>
    </w:p>
    <w:p w14:paraId="37D87707" w14:textId="77777777" w:rsidR="00385301" w:rsidRDefault="00385301">
      <w:pPr>
        <w:pBdr>
          <w:top w:val="nil"/>
          <w:left w:val="nil"/>
          <w:bottom w:val="nil"/>
          <w:right w:val="nil"/>
          <w:between w:val="nil"/>
        </w:pBdr>
        <w:tabs>
          <w:tab w:val="left" w:pos="885"/>
        </w:tabs>
        <w:spacing w:line="360" w:lineRule="auto"/>
        <w:ind w:left="884" w:right="117"/>
        <w:rPr>
          <w:color w:val="000000"/>
          <w:sz w:val="24"/>
          <w:szCs w:val="24"/>
        </w:rPr>
      </w:pPr>
    </w:p>
    <w:p w14:paraId="065B29DA" w14:textId="14981265"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prend note que l’option privilégiée par la </w:t>
      </w:r>
      <w:proofErr w:type="spellStart"/>
      <w:r>
        <w:rPr>
          <w:color w:val="000000"/>
          <w:sz w:val="24"/>
          <w:szCs w:val="24"/>
          <w:lang w:val="fr-CA"/>
        </w:rPr>
        <w:t>SÉQ</w:t>
      </w:r>
      <w:proofErr w:type="spellEnd"/>
      <w:r>
        <w:rPr>
          <w:color w:val="000000"/>
          <w:sz w:val="24"/>
          <w:szCs w:val="24"/>
          <w:lang w:val="fr-CA"/>
        </w:rPr>
        <w:t xml:space="preserve"> impliquerait la construction d’une nouvelle centrale à un emplacement à l’extérieur de la collectivité. Comme indiqué ci-dessus, il s’agirait d’une centrale d’une durée de vie prévue de 40 ans, dotée de quatre moteurs, d’une </w:t>
      </w:r>
      <w:r>
        <w:rPr>
          <w:sz w:val="24"/>
          <w:szCs w:val="24"/>
          <w:lang w:val="fr-CA"/>
        </w:rPr>
        <w:t>PI</w:t>
      </w:r>
      <w:r>
        <w:rPr>
          <w:color w:val="000000"/>
          <w:sz w:val="24"/>
          <w:szCs w:val="24"/>
          <w:lang w:val="fr-CA"/>
        </w:rPr>
        <w:t xml:space="preserve"> de 1 680 kW et d’une </w:t>
      </w:r>
      <w:proofErr w:type="spellStart"/>
      <w:r>
        <w:rPr>
          <w:color w:val="000000"/>
          <w:sz w:val="24"/>
          <w:szCs w:val="24"/>
          <w:lang w:val="fr-CA"/>
        </w:rPr>
        <w:t>PGI</w:t>
      </w:r>
      <w:proofErr w:type="spellEnd"/>
      <w:r>
        <w:rPr>
          <w:color w:val="000000"/>
          <w:sz w:val="24"/>
          <w:szCs w:val="24"/>
          <w:lang w:val="fr-CA"/>
        </w:rPr>
        <w:t xml:space="preserve"> de 1 200 kW pour une fiabilité, une efficacité, une exploitation et une sécurité améliorées. La nouvelle centrale comprendrait aussi deux réservoirs de carburant horizontaux à paroi double de </w:t>
      </w:r>
      <w:r w:rsidR="006B7845">
        <w:rPr>
          <w:color w:val="000000"/>
          <w:sz w:val="24"/>
          <w:szCs w:val="24"/>
          <w:lang w:val="fr-CA"/>
        </w:rPr>
        <w:t>90 000 </w:t>
      </w:r>
      <w:r>
        <w:rPr>
          <w:color w:val="000000"/>
          <w:sz w:val="24"/>
          <w:szCs w:val="24"/>
          <w:lang w:val="fr-CA"/>
        </w:rPr>
        <w:t>litres pour le stockage de carburant, des installations de pompage, une plateforme en béton pour le stockage des transformateurs, des râteliers à poteaux, des bermes pour l’huile usée et environ 1,2 km de lignes de distribution.</w:t>
      </w:r>
    </w:p>
    <w:p w14:paraId="72614FA8" w14:textId="77777777" w:rsidR="00385301" w:rsidRDefault="00385301">
      <w:pPr>
        <w:pBdr>
          <w:top w:val="nil"/>
          <w:left w:val="nil"/>
          <w:bottom w:val="nil"/>
          <w:right w:val="nil"/>
          <w:between w:val="nil"/>
        </w:pBdr>
        <w:ind w:left="884" w:hanging="360"/>
        <w:jc w:val="both"/>
        <w:rPr>
          <w:color w:val="000000"/>
          <w:sz w:val="24"/>
          <w:szCs w:val="24"/>
        </w:rPr>
      </w:pPr>
    </w:p>
    <w:p w14:paraId="176A2463" w14:textId="77777777" w:rsidR="00CF53C5" w:rsidRDefault="00CF53C5">
      <w:pPr>
        <w:rPr>
          <w:color w:val="000000"/>
          <w:sz w:val="24"/>
          <w:szCs w:val="24"/>
          <w:lang w:val="fr-CA"/>
        </w:rPr>
      </w:pPr>
      <w:r>
        <w:rPr>
          <w:color w:val="000000"/>
          <w:sz w:val="24"/>
          <w:szCs w:val="24"/>
          <w:lang w:val="fr-CA"/>
        </w:rPr>
        <w:br w:type="page"/>
      </w:r>
    </w:p>
    <w:p w14:paraId="1A39DA77" w14:textId="4510250C"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color w:val="000000"/>
          <w:sz w:val="24"/>
          <w:szCs w:val="24"/>
          <w:lang w:val="fr-CA"/>
        </w:rPr>
        <w:lastRenderedPageBreak/>
        <w:t xml:space="preserve"> Le </w:t>
      </w:r>
      <w:proofErr w:type="spellStart"/>
      <w:r>
        <w:rPr>
          <w:color w:val="000000"/>
          <w:sz w:val="24"/>
          <w:szCs w:val="24"/>
          <w:lang w:val="fr-CA"/>
        </w:rPr>
        <w:t>CETES</w:t>
      </w:r>
      <w:proofErr w:type="spellEnd"/>
      <w:r>
        <w:rPr>
          <w:color w:val="000000"/>
          <w:sz w:val="24"/>
          <w:szCs w:val="24"/>
          <w:lang w:val="fr-CA"/>
        </w:rPr>
        <w:t xml:space="preserve"> prend note que la puissance garantie installée de 1 200 kW dépassera la charge de pointe prévue jusqu’à vers 2056 (d’après la réponse reçue à la demande CETES-SÉQ-2 (c)) et que la </w:t>
      </w:r>
      <w:proofErr w:type="spellStart"/>
      <w:r>
        <w:rPr>
          <w:color w:val="000000"/>
          <w:sz w:val="24"/>
          <w:szCs w:val="24"/>
          <w:lang w:val="fr-CA"/>
        </w:rPr>
        <w:t>PGI</w:t>
      </w:r>
      <w:proofErr w:type="spellEnd"/>
      <w:r>
        <w:rPr>
          <w:color w:val="000000"/>
          <w:sz w:val="24"/>
          <w:szCs w:val="24"/>
          <w:lang w:val="fr-CA"/>
        </w:rPr>
        <w:t xml:space="preserve"> dépassera la </w:t>
      </w:r>
      <w:proofErr w:type="spellStart"/>
      <w:r>
        <w:rPr>
          <w:color w:val="000000"/>
          <w:sz w:val="24"/>
          <w:szCs w:val="24"/>
          <w:lang w:val="fr-CA"/>
        </w:rPr>
        <w:t>PGR</w:t>
      </w:r>
      <w:proofErr w:type="spellEnd"/>
      <w:r>
        <w:rPr>
          <w:color w:val="000000"/>
          <w:sz w:val="24"/>
          <w:szCs w:val="24"/>
          <w:lang w:val="fr-CA"/>
        </w:rPr>
        <w:t xml:space="preserve"> jusque quelque part entre </w:t>
      </w:r>
      <w:r w:rsidR="006B7845">
        <w:rPr>
          <w:color w:val="000000"/>
          <w:sz w:val="24"/>
          <w:szCs w:val="24"/>
          <w:lang w:val="fr-CA"/>
        </w:rPr>
        <w:t>2046 et </w:t>
      </w:r>
      <w:r>
        <w:rPr>
          <w:color w:val="000000"/>
          <w:sz w:val="24"/>
          <w:szCs w:val="24"/>
          <w:lang w:val="fr-CA"/>
        </w:rPr>
        <w:t>2051. Étant donné qu’</w:t>
      </w:r>
      <w:proofErr w:type="spellStart"/>
      <w:r>
        <w:rPr>
          <w:color w:val="000000"/>
          <w:sz w:val="24"/>
          <w:szCs w:val="24"/>
          <w:lang w:val="fr-CA"/>
        </w:rPr>
        <w:t>Arctic</w:t>
      </w:r>
      <w:proofErr w:type="spellEnd"/>
      <w:r>
        <w:rPr>
          <w:color w:val="000000"/>
          <w:sz w:val="24"/>
          <w:szCs w:val="24"/>
          <w:lang w:val="fr-CA"/>
        </w:rPr>
        <w:t xml:space="preserve"> Bay est une collectivité croissante et que la centrale sera construite pour une utilisation à long terme, le </w:t>
      </w:r>
      <w:proofErr w:type="spellStart"/>
      <w:r>
        <w:rPr>
          <w:color w:val="000000"/>
          <w:sz w:val="24"/>
          <w:szCs w:val="24"/>
          <w:lang w:val="fr-CA"/>
        </w:rPr>
        <w:t>CETES</w:t>
      </w:r>
      <w:proofErr w:type="spellEnd"/>
      <w:r>
        <w:rPr>
          <w:color w:val="000000"/>
          <w:sz w:val="24"/>
          <w:szCs w:val="24"/>
          <w:lang w:val="fr-CA"/>
        </w:rPr>
        <w:t xml:space="preserve"> convient que la puissance de la centrale proposée est raisonnable.</w:t>
      </w:r>
    </w:p>
    <w:p w14:paraId="387ED994" w14:textId="77777777" w:rsidR="00385301" w:rsidRDefault="00385301">
      <w:pPr>
        <w:pBdr>
          <w:top w:val="nil"/>
          <w:left w:val="nil"/>
          <w:bottom w:val="nil"/>
          <w:right w:val="nil"/>
          <w:between w:val="nil"/>
        </w:pBdr>
        <w:tabs>
          <w:tab w:val="left" w:pos="885"/>
        </w:tabs>
        <w:spacing w:line="360" w:lineRule="auto"/>
        <w:ind w:left="884" w:right="117"/>
        <w:jc w:val="both"/>
        <w:rPr>
          <w:color w:val="000000"/>
          <w:sz w:val="24"/>
          <w:szCs w:val="24"/>
        </w:rPr>
      </w:pPr>
    </w:p>
    <w:p w14:paraId="756DCE24"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accepte que la conception à quatre moteurs assure une flexibilité additionnelle en matière de fonctionnement et entretien par rapport au modèle à trois moteurs. Toutefois, l’analyse coût-bénéfice d’autres options de conception n’a pas été soumise à l’examen du </w:t>
      </w:r>
      <w:proofErr w:type="spellStart"/>
      <w:r>
        <w:rPr>
          <w:color w:val="000000"/>
          <w:sz w:val="24"/>
          <w:szCs w:val="24"/>
          <w:lang w:val="fr-CA"/>
        </w:rPr>
        <w:t>CETES</w:t>
      </w:r>
      <w:proofErr w:type="spellEnd"/>
      <w:r>
        <w:rPr>
          <w:color w:val="000000"/>
          <w:sz w:val="24"/>
          <w:szCs w:val="24"/>
          <w:lang w:val="fr-CA"/>
        </w:rPr>
        <w:t>.</w:t>
      </w:r>
    </w:p>
    <w:p w14:paraId="108A30F2" w14:textId="77777777" w:rsidR="00385301" w:rsidRDefault="00385301">
      <w:pPr>
        <w:pBdr>
          <w:top w:val="nil"/>
          <w:left w:val="nil"/>
          <w:bottom w:val="nil"/>
          <w:right w:val="nil"/>
          <w:between w:val="nil"/>
        </w:pBdr>
        <w:ind w:left="884" w:hanging="360"/>
        <w:jc w:val="both"/>
        <w:rPr>
          <w:color w:val="000000"/>
          <w:sz w:val="24"/>
          <w:szCs w:val="24"/>
        </w:rPr>
      </w:pPr>
    </w:p>
    <w:p w14:paraId="20845CC1"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souligne que l’emplacement proposé a été discuté avec des fonctionnaires du hameau qui ont approuvé la résolution de permettre à la </w:t>
      </w:r>
      <w:proofErr w:type="spellStart"/>
      <w:r>
        <w:rPr>
          <w:color w:val="000000"/>
          <w:sz w:val="24"/>
          <w:szCs w:val="24"/>
          <w:lang w:val="fr-CA"/>
        </w:rPr>
        <w:t>SÉQ</w:t>
      </w:r>
      <w:proofErr w:type="spellEnd"/>
      <w:r>
        <w:rPr>
          <w:color w:val="000000"/>
          <w:sz w:val="24"/>
          <w:szCs w:val="24"/>
          <w:lang w:val="fr-CA"/>
        </w:rPr>
        <w:t xml:space="preserve"> de construire la centrale à l’emplacement proposé, soit près du parc de stockage de carburant de la </w:t>
      </w:r>
      <w:proofErr w:type="spellStart"/>
      <w:r>
        <w:rPr>
          <w:color w:val="000000"/>
          <w:sz w:val="24"/>
          <w:szCs w:val="24"/>
          <w:lang w:val="fr-CA"/>
        </w:rPr>
        <w:t>DPP</w:t>
      </w:r>
      <w:proofErr w:type="spellEnd"/>
      <w:r>
        <w:rPr>
          <w:color w:val="000000"/>
          <w:sz w:val="24"/>
          <w:szCs w:val="24"/>
          <w:lang w:val="fr-CA"/>
        </w:rPr>
        <w:t xml:space="preserve">. Le </w:t>
      </w:r>
      <w:proofErr w:type="spellStart"/>
      <w:r>
        <w:rPr>
          <w:color w:val="000000"/>
          <w:sz w:val="24"/>
          <w:szCs w:val="24"/>
          <w:lang w:val="fr-CA"/>
        </w:rPr>
        <w:t>CETES</w:t>
      </w:r>
      <w:proofErr w:type="spellEnd"/>
      <w:r>
        <w:rPr>
          <w:color w:val="000000"/>
          <w:sz w:val="24"/>
          <w:szCs w:val="24"/>
          <w:lang w:val="fr-CA"/>
        </w:rPr>
        <w:t xml:space="preserve"> prend aussi note des diverses études et approbations déjà en main, y compris un bail d’une durée de 50 ans. Le </w:t>
      </w:r>
      <w:proofErr w:type="spellStart"/>
      <w:r>
        <w:rPr>
          <w:color w:val="000000"/>
          <w:sz w:val="24"/>
          <w:szCs w:val="24"/>
          <w:lang w:val="fr-CA"/>
        </w:rPr>
        <w:t>CETES</w:t>
      </w:r>
      <w:proofErr w:type="spellEnd"/>
      <w:r>
        <w:rPr>
          <w:color w:val="000000"/>
          <w:sz w:val="24"/>
          <w:szCs w:val="24"/>
          <w:lang w:val="fr-CA"/>
        </w:rPr>
        <w:t xml:space="preserve"> était préoccupé initialement par le risque supplémentaire associé à la ligne de distribution de 1,2 kilomètre qui relierait la centrale et le hameau, mais était satisfait qu’il y aura deux lignes de distribution (une clarification indiquée dans la réponse à la demande CETES-SÉQ-5).</w:t>
      </w:r>
    </w:p>
    <w:p w14:paraId="10E70B5E" w14:textId="77777777" w:rsidR="00385301" w:rsidRDefault="00385301">
      <w:pPr>
        <w:pBdr>
          <w:top w:val="nil"/>
          <w:left w:val="nil"/>
          <w:bottom w:val="nil"/>
          <w:right w:val="nil"/>
          <w:between w:val="nil"/>
        </w:pBdr>
        <w:ind w:left="884" w:hanging="360"/>
        <w:jc w:val="both"/>
        <w:rPr>
          <w:color w:val="000000"/>
          <w:sz w:val="24"/>
          <w:szCs w:val="24"/>
        </w:rPr>
      </w:pPr>
    </w:p>
    <w:p w14:paraId="0AABD1EB"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prend note qu’il y a une grande amélioration en ce qui a trait aux effets environnementaux de la centrale proposée par rapport à l’emplacement de la centrale actuelle au sein du hameau et qu’il faut féliciter la </w:t>
      </w:r>
      <w:proofErr w:type="spellStart"/>
      <w:r>
        <w:rPr>
          <w:color w:val="000000"/>
          <w:sz w:val="24"/>
          <w:szCs w:val="24"/>
          <w:lang w:val="fr-CA"/>
        </w:rPr>
        <w:t>SÉQ</w:t>
      </w:r>
      <w:proofErr w:type="spellEnd"/>
      <w:r>
        <w:rPr>
          <w:color w:val="000000"/>
          <w:sz w:val="24"/>
          <w:szCs w:val="24"/>
          <w:lang w:val="fr-CA"/>
        </w:rPr>
        <w:t xml:space="preserve"> à cet effet. Un meilleur rendement énergétique et l’installation d’épurateurs devraient améliorer nettement les émissions atmosphériques. Le </w:t>
      </w:r>
      <w:proofErr w:type="spellStart"/>
      <w:r>
        <w:rPr>
          <w:color w:val="000000"/>
          <w:sz w:val="24"/>
          <w:szCs w:val="24"/>
          <w:lang w:val="fr-CA"/>
        </w:rPr>
        <w:t>CETES</w:t>
      </w:r>
      <w:proofErr w:type="spellEnd"/>
      <w:r>
        <w:rPr>
          <w:color w:val="000000"/>
          <w:sz w:val="24"/>
          <w:szCs w:val="24"/>
          <w:lang w:val="fr-CA"/>
        </w:rPr>
        <w:t xml:space="preserve"> souhaite toujours savoir si un système unique/commun d’épurateurs constitue une option viable par rapport à l’installation d’un épurateur distinct pour chaque groupe électrogène. De la même façon, il devrait y avoir une grande amélioration sur le plan des émissions sonores. Toutefois, le </w:t>
      </w:r>
      <w:proofErr w:type="spellStart"/>
      <w:r>
        <w:rPr>
          <w:color w:val="000000"/>
          <w:sz w:val="24"/>
          <w:szCs w:val="24"/>
          <w:lang w:val="fr-CA"/>
        </w:rPr>
        <w:t>CETES</w:t>
      </w:r>
      <w:proofErr w:type="spellEnd"/>
      <w:r>
        <w:rPr>
          <w:color w:val="000000"/>
          <w:sz w:val="24"/>
          <w:szCs w:val="24"/>
          <w:lang w:val="fr-CA"/>
        </w:rPr>
        <w:t xml:space="preserve"> souhaite savoir si l’acquisition de silencieux de qualité hospitalière représente un coût additionnel important ou si ce coût pourrait être réduit (tout en maintenant un niveau de bruit acceptable). En ce qui concerne le stockage et la manutention de carburant, le </w:t>
      </w:r>
      <w:proofErr w:type="spellStart"/>
      <w:r>
        <w:rPr>
          <w:color w:val="000000"/>
          <w:sz w:val="24"/>
          <w:szCs w:val="24"/>
          <w:lang w:val="fr-CA"/>
        </w:rPr>
        <w:lastRenderedPageBreak/>
        <w:t>CETES</w:t>
      </w:r>
      <w:proofErr w:type="spellEnd"/>
      <w:r>
        <w:rPr>
          <w:color w:val="000000"/>
          <w:sz w:val="24"/>
          <w:szCs w:val="24"/>
          <w:lang w:val="fr-CA"/>
        </w:rPr>
        <w:t xml:space="preserve"> convient que l’emplacement de la nouvelle centrale devrait être de loin supérieur à celui de la centrale actuelle.</w:t>
      </w:r>
    </w:p>
    <w:p w14:paraId="7CA0E3C2"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souligne que la </w:t>
      </w:r>
      <w:proofErr w:type="spellStart"/>
      <w:r>
        <w:rPr>
          <w:color w:val="000000"/>
          <w:sz w:val="24"/>
          <w:szCs w:val="24"/>
          <w:lang w:val="fr-CA"/>
        </w:rPr>
        <w:t>SÉQ</w:t>
      </w:r>
      <w:proofErr w:type="spellEnd"/>
      <w:r>
        <w:rPr>
          <w:color w:val="000000"/>
          <w:sz w:val="24"/>
          <w:szCs w:val="24"/>
          <w:lang w:val="fr-CA"/>
        </w:rPr>
        <w:t xml:space="preserve"> a prévu l’intégration potentielle de la production d’énergie renouvelable à la centrale. Le </w:t>
      </w:r>
      <w:proofErr w:type="spellStart"/>
      <w:r>
        <w:rPr>
          <w:color w:val="000000"/>
          <w:sz w:val="24"/>
          <w:szCs w:val="24"/>
          <w:lang w:val="fr-CA"/>
        </w:rPr>
        <w:t>CETES</w:t>
      </w:r>
      <w:proofErr w:type="spellEnd"/>
      <w:r>
        <w:rPr>
          <w:color w:val="000000"/>
          <w:sz w:val="24"/>
          <w:szCs w:val="24"/>
          <w:lang w:val="fr-CA"/>
        </w:rPr>
        <w:t xml:space="preserve"> félicite la </w:t>
      </w:r>
      <w:proofErr w:type="spellStart"/>
      <w:r>
        <w:rPr>
          <w:color w:val="000000"/>
          <w:sz w:val="24"/>
          <w:szCs w:val="24"/>
          <w:lang w:val="fr-CA"/>
        </w:rPr>
        <w:t>SÉQ</w:t>
      </w:r>
      <w:proofErr w:type="spellEnd"/>
      <w:r>
        <w:rPr>
          <w:color w:val="000000"/>
          <w:sz w:val="24"/>
          <w:szCs w:val="24"/>
          <w:lang w:val="fr-CA"/>
        </w:rPr>
        <w:t xml:space="preserve"> d’avoir prévu cette flexibilité à sa proposition et demande s’il serait judicieux d’inclure une flexibilité additionnelle compte tenu du coût minimal de 20 000 $ (tel qu’il est indiqué dans la réponse à la demande d’information CETES-SÉQ-4).</w:t>
      </w:r>
    </w:p>
    <w:p w14:paraId="434E7CF1"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prend note que la </w:t>
      </w:r>
      <w:proofErr w:type="spellStart"/>
      <w:r>
        <w:rPr>
          <w:color w:val="000000"/>
          <w:sz w:val="24"/>
          <w:szCs w:val="24"/>
          <w:lang w:val="fr-CA"/>
        </w:rPr>
        <w:t>SÉQ</w:t>
      </w:r>
      <w:proofErr w:type="spellEnd"/>
      <w:r>
        <w:rPr>
          <w:color w:val="000000"/>
          <w:sz w:val="24"/>
          <w:szCs w:val="24"/>
          <w:lang w:val="fr-CA"/>
        </w:rPr>
        <w:t xml:space="preserve"> a fourni de l’information sur les effets de la centrale proposée sur ses prévisions en matière de dépenses en immobilisations, ses exigences de fonds de roulement et ses tarifs. Le </w:t>
      </w:r>
      <w:proofErr w:type="spellStart"/>
      <w:r>
        <w:rPr>
          <w:color w:val="000000"/>
          <w:sz w:val="24"/>
          <w:szCs w:val="24"/>
          <w:lang w:val="fr-CA"/>
        </w:rPr>
        <w:t>CETES</w:t>
      </w:r>
      <w:proofErr w:type="spellEnd"/>
      <w:r>
        <w:rPr>
          <w:color w:val="000000"/>
          <w:sz w:val="24"/>
          <w:szCs w:val="24"/>
          <w:lang w:val="fr-CA"/>
        </w:rPr>
        <w:t xml:space="preserve"> convient que la hausse prévue des tarifs par localité est élevée, mais examinera cette question de plus près dans le cadre de la prochaine </w:t>
      </w:r>
      <w:proofErr w:type="spellStart"/>
      <w:r>
        <w:rPr>
          <w:color w:val="000000"/>
          <w:sz w:val="24"/>
          <w:szCs w:val="24"/>
          <w:lang w:val="fr-CA"/>
        </w:rPr>
        <w:t>RMTG</w:t>
      </w:r>
      <w:proofErr w:type="spellEnd"/>
      <w:r>
        <w:rPr>
          <w:color w:val="000000"/>
          <w:sz w:val="24"/>
          <w:szCs w:val="24"/>
          <w:lang w:val="fr-CA"/>
        </w:rPr>
        <w:t xml:space="preserve">. De la même façon, les prévisions en matière de dépenses en immobilisations et les exigences de fonds de roulement semblent être raisonnables, tant avant et après l’obtention du financement du programme Fonds pour l’énergie dans l’Arctique. </w:t>
      </w:r>
      <w:proofErr w:type="gramStart"/>
      <w:r>
        <w:rPr>
          <w:color w:val="000000"/>
          <w:sz w:val="24"/>
          <w:szCs w:val="24"/>
          <w:lang w:val="fr-CA"/>
        </w:rPr>
        <w:t>Par contre</w:t>
      </w:r>
      <w:proofErr w:type="gramEnd"/>
      <w:r>
        <w:rPr>
          <w:color w:val="000000"/>
          <w:sz w:val="24"/>
          <w:szCs w:val="24"/>
          <w:lang w:val="fr-CA"/>
        </w:rPr>
        <w:t xml:space="preserve">, en raison de la taille du projet, le </w:t>
      </w:r>
      <w:proofErr w:type="spellStart"/>
      <w:r>
        <w:rPr>
          <w:color w:val="000000"/>
          <w:sz w:val="24"/>
          <w:szCs w:val="24"/>
          <w:lang w:val="fr-CA"/>
        </w:rPr>
        <w:t>CETES</w:t>
      </w:r>
      <w:proofErr w:type="spellEnd"/>
      <w:r>
        <w:rPr>
          <w:color w:val="000000"/>
          <w:sz w:val="24"/>
          <w:szCs w:val="24"/>
          <w:lang w:val="fr-CA"/>
        </w:rPr>
        <w:t xml:space="preserve"> exprime une inquiétude dans le cas où le financement fédéral ne serait pas assuré comme il est décrit dans la demande et les réponses aux demandes d’information. Le </w:t>
      </w:r>
      <w:proofErr w:type="spellStart"/>
      <w:r>
        <w:rPr>
          <w:color w:val="000000"/>
          <w:sz w:val="24"/>
          <w:szCs w:val="24"/>
          <w:lang w:val="fr-CA"/>
        </w:rPr>
        <w:t>CETES</w:t>
      </w:r>
      <w:proofErr w:type="spellEnd"/>
      <w:r>
        <w:rPr>
          <w:color w:val="000000"/>
          <w:sz w:val="24"/>
          <w:szCs w:val="24"/>
          <w:lang w:val="fr-CA"/>
        </w:rPr>
        <w:t xml:space="preserve"> est aussi intéressé par la compétitivité du processus d’appel d’offres et la probabilité que la </w:t>
      </w:r>
      <w:proofErr w:type="spellStart"/>
      <w:r>
        <w:rPr>
          <w:color w:val="000000"/>
          <w:sz w:val="24"/>
          <w:szCs w:val="24"/>
          <w:lang w:val="fr-CA"/>
        </w:rPr>
        <w:t>SÉQ</w:t>
      </w:r>
      <w:proofErr w:type="spellEnd"/>
      <w:r>
        <w:rPr>
          <w:color w:val="000000"/>
          <w:sz w:val="24"/>
          <w:szCs w:val="24"/>
          <w:lang w:val="fr-CA"/>
        </w:rPr>
        <w:t xml:space="preserve"> reçoive des propositions raisonnables. La réponse à la demande d’information CETES-SÉQ-6 reflète l’écart considérable entre le coût prévu et le coût réel de nouvelles centrales électriques.</w:t>
      </w:r>
    </w:p>
    <w:p w14:paraId="351BFFF2"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souligne que la </w:t>
      </w:r>
      <w:proofErr w:type="spellStart"/>
      <w:r>
        <w:rPr>
          <w:color w:val="000000"/>
          <w:sz w:val="24"/>
          <w:szCs w:val="24"/>
          <w:lang w:val="fr-CA"/>
        </w:rPr>
        <w:t>SÉQ</w:t>
      </w:r>
      <w:proofErr w:type="spellEnd"/>
      <w:r>
        <w:rPr>
          <w:color w:val="000000"/>
          <w:sz w:val="24"/>
          <w:szCs w:val="24"/>
          <w:lang w:val="fr-CA"/>
        </w:rPr>
        <w:t xml:space="preserve"> prévoit compléter la construction de la nouvelle centrale au cours de l’exercice 2021-2022. Le </w:t>
      </w:r>
      <w:proofErr w:type="spellStart"/>
      <w:r>
        <w:rPr>
          <w:color w:val="000000"/>
          <w:sz w:val="24"/>
          <w:szCs w:val="24"/>
          <w:lang w:val="fr-CA"/>
        </w:rPr>
        <w:t>CETES</w:t>
      </w:r>
      <w:proofErr w:type="spellEnd"/>
      <w:r>
        <w:rPr>
          <w:color w:val="000000"/>
          <w:sz w:val="24"/>
          <w:szCs w:val="24"/>
          <w:lang w:val="fr-CA"/>
        </w:rPr>
        <w:t xml:space="preserve"> convient que, même si elle est ambitieuse, cette date cible est souhaitable d’après le besoin, tel qu’il est discuté ci-dessus dans le présent rapport.</w:t>
      </w:r>
    </w:p>
    <w:p w14:paraId="0E36AAF4"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pPr>
      <w:r>
        <w:rPr>
          <w:color w:val="000000"/>
          <w:sz w:val="24"/>
          <w:szCs w:val="24"/>
          <w:lang w:val="fr-CA"/>
        </w:rPr>
        <w:t xml:space="preserve">Le </w:t>
      </w:r>
      <w:proofErr w:type="spellStart"/>
      <w:r>
        <w:rPr>
          <w:color w:val="000000"/>
          <w:sz w:val="24"/>
          <w:szCs w:val="24"/>
          <w:lang w:val="fr-CA"/>
        </w:rPr>
        <w:t>CETES</w:t>
      </w:r>
      <w:proofErr w:type="spellEnd"/>
      <w:r>
        <w:rPr>
          <w:color w:val="000000"/>
          <w:sz w:val="24"/>
          <w:szCs w:val="24"/>
          <w:lang w:val="fr-CA"/>
        </w:rPr>
        <w:t xml:space="preserve"> prend note que la </w:t>
      </w:r>
      <w:proofErr w:type="spellStart"/>
      <w:r>
        <w:rPr>
          <w:color w:val="000000"/>
          <w:sz w:val="24"/>
          <w:szCs w:val="24"/>
          <w:lang w:val="fr-CA"/>
        </w:rPr>
        <w:t>SÉQ</w:t>
      </w:r>
      <w:proofErr w:type="spellEnd"/>
      <w:r>
        <w:rPr>
          <w:color w:val="000000"/>
          <w:sz w:val="24"/>
          <w:szCs w:val="24"/>
          <w:lang w:val="fr-CA"/>
        </w:rPr>
        <w:t xml:space="preserve"> prévoit mettre hors service certaines parties du site actuel et entreprendre leur nettoyage peu après la fin des activités (peut-être un an après l’achèvement de la construction de la nouvelle centrale). Le </w:t>
      </w:r>
      <w:proofErr w:type="spellStart"/>
      <w:r>
        <w:rPr>
          <w:color w:val="000000"/>
          <w:sz w:val="24"/>
          <w:szCs w:val="24"/>
          <w:lang w:val="fr-CA"/>
        </w:rPr>
        <w:t>CETES</w:t>
      </w:r>
      <w:proofErr w:type="spellEnd"/>
      <w:r>
        <w:rPr>
          <w:color w:val="000000"/>
          <w:sz w:val="24"/>
          <w:szCs w:val="24"/>
          <w:lang w:val="fr-CA"/>
        </w:rPr>
        <w:t xml:space="preserve"> souhaiterait recevoir des mises à jour sur la progression de ces travaux et sur la réaffectation ou l’utilisation de tout équipement ou bâtiment utile.</w:t>
      </w:r>
    </w:p>
    <w:p w14:paraId="6249036B"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rPr>
          <w:color w:val="000000"/>
          <w:sz w:val="24"/>
          <w:szCs w:val="24"/>
        </w:rPr>
      </w:pPr>
      <w:r>
        <w:rPr>
          <w:color w:val="000000"/>
          <w:sz w:val="24"/>
          <w:szCs w:val="24"/>
          <w:lang w:val="fr-CA"/>
        </w:rPr>
        <w:lastRenderedPageBreak/>
        <w:t xml:space="preserve">Le </w:t>
      </w:r>
      <w:proofErr w:type="spellStart"/>
      <w:r>
        <w:rPr>
          <w:color w:val="000000"/>
          <w:sz w:val="24"/>
          <w:szCs w:val="24"/>
          <w:lang w:val="fr-CA"/>
        </w:rPr>
        <w:t>CETES</w:t>
      </w:r>
      <w:proofErr w:type="spellEnd"/>
      <w:r>
        <w:rPr>
          <w:color w:val="000000"/>
          <w:sz w:val="24"/>
          <w:szCs w:val="24"/>
          <w:lang w:val="fr-CA"/>
        </w:rPr>
        <w:t xml:space="preserve"> convient que l’option privilégiée par la </w:t>
      </w:r>
      <w:proofErr w:type="spellStart"/>
      <w:r>
        <w:rPr>
          <w:color w:val="000000"/>
          <w:sz w:val="24"/>
          <w:szCs w:val="24"/>
          <w:lang w:val="fr-CA"/>
        </w:rPr>
        <w:t>SÉQ</w:t>
      </w:r>
      <w:proofErr w:type="spellEnd"/>
      <w:r>
        <w:rPr>
          <w:color w:val="000000"/>
          <w:sz w:val="24"/>
          <w:szCs w:val="24"/>
          <w:lang w:val="fr-CA"/>
        </w:rPr>
        <w:t xml:space="preserve"> est raisonnable d’après l’information et les hypothèses fournies dans la demande. </w:t>
      </w:r>
    </w:p>
    <w:p w14:paraId="0F299C5E"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rPr>
          <w:color w:val="000000"/>
          <w:sz w:val="24"/>
          <w:szCs w:val="24"/>
        </w:rPr>
      </w:pPr>
      <w:r>
        <w:rPr>
          <w:color w:val="000000"/>
          <w:sz w:val="24"/>
          <w:szCs w:val="24"/>
          <w:lang w:val="fr-CA"/>
        </w:rPr>
        <w:t xml:space="preserve">À la lumière de ce qui précède, le </w:t>
      </w:r>
      <w:proofErr w:type="spellStart"/>
      <w:r>
        <w:rPr>
          <w:color w:val="000000"/>
          <w:sz w:val="24"/>
          <w:szCs w:val="24"/>
          <w:lang w:val="fr-CA"/>
        </w:rPr>
        <w:t>CETES</w:t>
      </w:r>
      <w:proofErr w:type="spellEnd"/>
      <w:r>
        <w:rPr>
          <w:color w:val="000000"/>
          <w:sz w:val="24"/>
          <w:szCs w:val="24"/>
          <w:lang w:val="fr-CA"/>
        </w:rPr>
        <w:t xml:space="preserve"> recommande que la </w:t>
      </w:r>
      <w:proofErr w:type="spellStart"/>
      <w:r>
        <w:rPr>
          <w:color w:val="000000"/>
          <w:sz w:val="24"/>
          <w:szCs w:val="24"/>
          <w:lang w:val="fr-CA"/>
        </w:rPr>
        <w:t>SÉQ</w:t>
      </w:r>
      <w:proofErr w:type="spellEnd"/>
      <w:r>
        <w:rPr>
          <w:color w:val="000000"/>
          <w:sz w:val="24"/>
          <w:szCs w:val="24"/>
          <w:lang w:val="fr-CA"/>
        </w:rPr>
        <w:t xml:space="preserve"> soit autorisée à aller de l’avant avec le projet soumis. Le </w:t>
      </w:r>
      <w:proofErr w:type="spellStart"/>
      <w:r>
        <w:rPr>
          <w:color w:val="000000"/>
          <w:sz w:val="24"/>
          <w:szCs w:val="24"/>
          <w:lang w:val="fr-CA"/>
        </w:rPr>
        <w:t>CETES</w:t>
      </w:r>
      <w:proofErr w:type="spellEnd"/>
      <w:r>
        <w:rPr>
          <w:color w:val="000000"/>
          <w:sz w:val="24"/>
          <w:szCs w:val="24"/>
          <w:lang w:val="fr-CA"/>
        </w:rPr>
        <w:t xml:space="preserve"> recommande que la </w:t>
      </w:r>
      <w:proofErr w:type="spellStart"/>
      <w:r>
        <w:rPr>
          <w:color w:val="000000"/>
          <w:sz w:val="24"/>
          <w:szCs w:val="24"/>
          <w:lang w:val="fr-CA"/>
        </w:rPr>
        <w:t>SÉQ</w:t>
      </w:r>
      <w:proofErr w:type="spellEnd"/>
      <w:r>
        <w:rPr>
          <w:color w:val="000000"/>
          <w:sz w:val="24"/>
          <w:szCs w:val="24"/>
          <w:lang w:val="fr-CA"/>
        </w:rPr>
        <w:t xml:space="preserve"> tienne compte, entre autres, des facteurs suivants :</w:t>
      </w:r>
    </w:p>
    <w:p w14:paraId="738A15E7" w14:textId="715F111B" w:rsidR="00385301" w:rsidRDefault="006B7845">
      <w:pPr>
        <w:numPr>
          <w:ilvl w:val="0"/>
          <w:numId w:val="9"/>
        </w:numPr>
        <w:pBdr>
          <w:top w:val="nil"/>
          <w:left w:val="nil"/>
          <w:bottom w:val="nil"/>
          <w:right w:val="nil"/>
          <w:between w:val="nil"/>
        </w:pBdr>
        <w:tabs>
          <w:tab w:val="left" w:pos="1180"/>
        </w:tabs>
        <w:spacing w:before="1" w:line="360" w:lineRule="auto"/>
        <w:ind w:right="117"/>
        <w:jc w:val="both"/>
        <w:rPr>
          <w:color w:val="000000"/>
          <w:sz w:val="24"/>
          <w:szCs w:val="24"/>
        </w:rPr>
      </w:pPr>
      <w:proofErr w:type="gramStart"/>
      <w:r>
        <w:rPr>
          <w:color w:val="000000"/>
          <w:sz w:val="24"/>
          <w:szCs w:val="24"/>
          <w:lang w:val="fr-CA"/>
        </w:rPr>
        <w:t>mettre</w:t>
      </w:r>
      <w:proofErr w:type="gramEnd"/>
      <w:r>
        <w:rPr>
          <w:color w:val="000000"/>
          <w:sz w:val="24"/>
          <w:szCs w:val="24"/>
          <w:lang w:val="fr-CA"/>
        </w:rPr>
        <w:t xml:space="preserve"> </w:t>
      </w:r>
      <w:r w:rsidR="00882D31">
        <w:rPr>
          <w:color w:val="000000"/>
          <w:sz w:val="24"/>
          <w:szCs w:val="24"/>
          <w:lang w:val="fr-CA"/>
        </w:rPr>
        <w:t xml:space="preserve">en place de contrôles adéquats en matière de finances et de gestion de projet afin d’optimiser et de minimiser le coût de la nouvelle centrale et de </w:t>
      </w:r>
      <w:r w:rsidR="00882D31">
        <w:rPr>
          <w:sz w:val="24"/>
          <w:szCs w:val="24"/>
          <w:lang w:val="fr-CA"/>
        </w:rPr>
        <w:t>veiller à ce que les échéanciers du projet soient respectés;</w:t>
      </w:r>
    </w:p>
    <w:p w14:paraId="13773E26" w14:textId="77777777" w:rsidR="00385301" w:rsidRDefault="00882D31">
      <w:pPr>
        <w:numPr>
          <w:ilvl w:val="0"/>
          <w:numId w:val="9"/>
        </w:numPr>
        <w:pBdr>
          <w:top w:val="nil"/>
          <w:left w:val="nil"/>
          <w:bottom w:val="nil"/>
          <w:right w:val="nil"/>
          <w:between w:val="nil"/>
        </w:pBdr>
        <w:tabs>
          <w:tab w:val="left" w:pos="1180"/>
        </w:tabs>
        <w:spacing w:line="360" w:lineRule="auto"/>
        <w:ind w:right="114"/>
        <w:jc w:val="both"/>
        <w:rPr>
          <w:color w:val="000000"/>
          <w:sz w:val="24"/>
          <w:szCs w:val="24"/>
        </w:rPr>
      </w:pPr>
      <w:proofErr w:type="gramStart"/>
      <w:r>
        <w:rPr>
          <w:color w:val="000000"/>
          <w:sz w:val="24"/>
          <w:szCs w:val="24"/>
          <w:lang w:val="fr-CA"/>
        </w:rPr>
        <w:t>s’assurer</w:t>
      </w:r>
      <w:proofErr w:type="gramEnd"/>
      <w:r>
        <w:rPr>
          <w:color w:val="000000"/>
          <w:sz w:val="24"/>
          <w:szCs w:val="24"/>
          <w:lang w:val="fr-CA"/>
        </w:rPr>
        <w:t xml:space="preserve"> que l’équipement (c.-à-d. les silencieux de qualité hospitalière comparativement à une autre option) utilisé pour traiter les émissions sonores soit efficace économiquement pour l’emplacement proposé;</w:t>
      </w:r>
    </w:p>
    <w:p w14:paraId="6097FBC3" w14:textId="77777777" w:rsidR="00385301" w:rsidRDefault="00882D31">
      <w:pPr>
        <w:numPr>
          <w:ilvl w:val="0"/>
          <w:numId w:val="9"/>
        </w:numPr>
        <w:pBdr>
          <w:top w:val="nil"/>
          <w:left w:val="nil"/>
          <w:bottom w:val="nil"/>
          <w:right w:val="nil"/>
          <w:between w:val="nil"/>
        </w:pBdr>
        <w:tabs>
          <w:tab w:val="left" w:pos="1180"/>
        </w:tabs>
        <w:spacing w:line="360" w:lineRule="auto"/>
        <w:ind w:right="114"/>
        <w:jc w:val="both"/>
        <w:rPr>
          <w:color w:val="000000"/>
          <w:sz w:val="24"/>
          <w:szCs w:val="24"/>
        </w:rPr>
      </w:pPr>
      <w:proofErr w:type="gramStart"/>
      <w:r>
        <w:rPr>
          <w:color w:val="000000"/>
          <w:sz w:val="24"/>
          <w:szCs w:val="24"/>
          <w:lang w:val="fr-CA"/>
        </w:rPr>
        <w:t>s’assurer</w:t>
      </w:r>
      <w:proofErr w:type="gramEnd"/>
      <w:r>
        <w:rPr>
          <w:color w:val="000000"/>
          <w:sz w:val="24"/>
          <w:szCs w:val="24"/>
          <w:lang w:val="fr-CA"/>
        </w:rPr>
        <w:t xml:space="preserve"> que l’équipement (c.-à-d. les épurateurs individuels comparativement à un épurateur commun) utilisé pour traiter les émissions atmosphériques soit efficace économiquement;</w:t>
      </w:r>
    </w:p>
    <w:p w14:paraId="41A25E60" w14:textId="77777777" w:rsidR="00385301" w:rsidRDefault="00882D31">
      <w:pPr>
        <w:numPr>
          <w:ilvl w:val="0"/>
          <w:numId w:val="9"/>
        </w:numPr>
        <w:pBdr>
          <w:top w:val="nil"/>
          <w:left w:val="nil"/>
          <w:bottom w:val="nil"/>
          <w:right w:val="nil"/>
          <w:between w:val="nil"/>
        </w:pBdr>
        <w:tabs>
          <w:tab w:val="left" w:pos="1180"/>
        </w:tabs>
        <w:spacing w:line="360" w:lineRule="auto"/>
        <w:ind w:right="114"/>
        <w:jc w:val="both"/>
        <w:rPr>
          <w:color w:val="000000"/>
          <w:sz w:val="24"/>
          <w:szCs w:val="24"/>
        </w:rPr>
      </w:pPr>
      <w:proofErr w:type="gramStart"/>
      <w:r>
        <w:rPr>
          <w:color w:val="000000"/>
          <w:sz w:val="24"/>
          <w:szCs w:val="24"/>
          <w:lang w:val="fr-CA"/>
        </w:rPr>
        <w:t>fournir</w:t>
      </w:r>
      <w:proofErr w:type="gramEnd"/>
      <w:r>
        <w:rPr>
          <w:color w:val="000000"/>
          <w:sz w:val="24"/>
          <w:szCs w:val="24"/>
          <w:lang w:val="fr-CA"/>
        </w:rPr>
        <w:t xml:space="preserve">, dans le cadre de la prochaine </w:t>
      </w:r>
      <w:proofErr w:type="spellStart"/>
      <w:r>
        <w:rPr>
          <w:color w:val="000000"/>
          <w:sz w:val="24"/>
          <w:szCs w:val="24"/>
          <w:lang w:val="fr-CA"/>
        </w:rPr>
        <w:t>RMTG</w:t>
      </w:r>
      <w:proofErr w:type="spellEnd"/>
      <w:r>
        <w:rPr>
          <w:color w:val="000000"/>
          <w:sz w:val="24"/>
          <w:szCs w:val="24"/>
          <w:lang w:val="fr-CA"/>
        </w:rPr>
        <w:t xml:space="preserve">, de l’information au </w:t>
      </w:r>
      <w:proofErr w:type="spellStart"/>
      <w:r>
        <w:rPr>
          <w:color w:val="000000"/>
          <w:sz w:val="24"/>
          <w:szCs w:val="24"/>
          <w:lang w:val="fr-CA"/>
        </w:rPr>
        <w:t>CETES</w:t>
      </w:r>
      <w:proofErr w:type="spellEnd"/>
      <w:r>
        <w:rPr>
          <w:color w:val="000000"/>
          <w:sz w:val="24"/>
          <w:szCs w:val="24"/>
          <w:lang w:val="fr-CA"/>
        </w:rPr>
        <w:t xml:space="preserve"> à propos du coût et du progrès du nettoyage de la centrale actuelle, y compris des plans plus détaillés sur la réaffectation ou la réutilisation de l’équipement et de bâtiments;</w:t>
      </w:r>
    </w:p>
    <w:p w14:paraId="0D0B705B" w14:textId="67202454" w:rsidR="00385301" w:rsidRDefault="006B7845">
      <w:pPr>
        <w:numPr>
          <w:ilvl w:val="0"/>
          <w:numId w:val="9"/>
        </w:numPr>
        <w:pBdr>
          <w:top w:val="nil"/>
          <w:left w:val="nil"/>
          <w:bottom w:val="nil"/>
          <w:right w:val="nil"/>
          <w:between w:val="nil"/>
        </w:pBdr>
        <w:tabs>
          <w:tab w:val="left" w:pos="1180"/>
        </w:tabs>
        <w:spacing w:line="360" w:lineRule="auto"/>
        <w:ind w:right="114"/>
        <w:jc w:val="both"/>
        <w:rPr>
          <w:color w:val="000000"/>
          <w:sz w:val="24"/>
          <w:szCs w:val="24"/>
        </w:rPr>
      </w:pPr>
      <w:proofErr w:type="gramStart"/>
      <w:r>
        <w:rPr>
          <w:color w:val="000000"/>
          <w:sz w:val="24"/>
          <w:szCs w:val="24"/>
          <w:lang w:val="fr-CA"/>
        </w:rPr>
        <w:t>si</w:t>
      </w:r>
      <w:proofErr w:type="gramEnd"/>
      <w:r>
        <w:rPr>
          <w:color w:val="000000"/>
          <w:sz w:val="24"/>
          <w:szCs w:val="24"/>
          <w:lang w:val="fr-CA"/>
        </w:rPr>
        <w:t xml:space="preserve"> </w:t>
      </w:r>
      <w:r w:rsidR="00882D31">
        <w:rPr>
          <w:color w:val="000000"/>
          <w:sz w:val="24"/>
          <w:szCs w:val="24"/>
          <w:lang w:val="fr-CA"/>
        </w:rPr>
        <w:t xml:space="preserve">la </w:t>
      </w:r>
      <w:proofErr w:type="spellStart"/>
      <w:r w:rsidR="00882D31">
        <w:rPr>
          <w:color w:val="000000"/>
          <w:sz w:val="24"/>
          <w:szCs w:val="24"/>
          <w:lang w:val="fr-CA"/>
        </w:rPr>
        <w:t>SÉQ</w:t>
      </w:r>
      <w:proofErr w:type="spellEnd"/>
      <w:r w:rsidR="00882D31">
        <w:rPr>
          <w:color w:val="000000"/>
          <w:sz w:val="24"/>
          <w:szCs w:val="24"/>
          <w:lang w:val="fr-CA"/>
        </w:rPr>
        <w:t xml:space="preserve"> n’obtient pas de financement du programme Fonds pour l’énergie dans l’Arctique tel qu’il est indiqué dans la demande et les réponses aux demandes d’information, la ministre doit ordonner à la Société de préparer et de soumettre une nouvelle </w:t>
      </w:r>
      <w:proofErr w:type="spellStart"/>
      <w:r w:rsidR="00882D31">
        <w:rPr>
          <w:color w:val="000000"/>
          <w:sz w:val="24"/>
          <w:szCs w:val="24"/>
          <w:lang w:val="fr-CA"/>
        </w:rPr>
        <w:t>DPPM</w:t>
      </w:r>
      <w:proofErr w:type="spellEnd"/>
      <w:r w:rsidR="00882D31">
        <w:rPr>
          <w:color w:val="000000"/>
          <w:sz w:val="24"/>
          <w:szCs w:val="24"/>
          <w:lang w:val="fr-CA"/>
        </w:rPr>
        <w:t xml:space="preserve"> à des fins d’approbation puisque </w:t>
      </w:r>
      <w:r w:rsidR="00882D31">
        <w:rPr>
          <w:sz w:val="24"/>
          <w:szCs w:val="24"/>
          <w:lang w:val="fr-CA"/>
        </w:rPr>
        <w:t>la perte de ce financement</w:t>
      </w:r>
      <w:r w:rsidR="00882D31">
        <w:rPr>
          <w:color w:val="000000"/>
          <w:sz w:val="24"/>
          <w:szCs w:val="24"/>
          <w:lang w:val="fr-CA"/>
        </w:rPr>
        <w:t xml:space="preserve"> </w:t>
      </w:r>
      <w:r w:rsidR="00882D31">
        <w:rPr>
          <w:sz w:val="24"/>
          <w:szCs w:val="24"/>
          <w:lang w:val="fr-CA"/>
        </w:rPr>
        <w:t>pourrait</w:t>
      </w:r>
      <w:r w:rsidR="00882D31">
        <w:rPr>
          <w:color w:val="000000"/>
          <w:sz w:val="24"/>
          <w:szCs w:val="24"/>
          <w:lang w:val="fr-CA"/>
        </w:rPr>
        <w:t xml:space="preserve"> amener le </w:t>
      </w:r>
      <w:proofErr w:type="spellStart"/>
      <w:r w:rsidR="00882D31">
        <w:rPr>
          <w:color w:val="000000"/>
          <w:sz w:val="24"/>
          <w:szCs w:val="24"/>
          <w:lang w:val="fr-CA"/>
        </w:rPr>
        <w:t>CETES</w:t>
      </w:r>
      <w:proofErr w:type="spellEnd"/>
      <w:r w:rsidR="00882D31">
        <w:rPr>
          <w:color w:val="000000"/>
          <w:sz w:val="24"/>
          <w:szCs w:val="24"/>
          <w:lang w:val="fr-CA"/>
        </w:rPr>
        <w:t xml:space="preserve"> à reconsidérer s’il s’agit toujours d’une demande </w:t>
      </w:r>
      <w:r w:rsidR="00882D31">
        <w:rPr>
          <w:sz w:val="24"/>
          <w:szCs w:val="24"/>
          <w:lang w:val="fr-CA"/>
        </w:rPr>
        <w:t>peu importante</w:t>
      </w:r>
      <w:r w:rsidR="00882D31">
        <w:rPr>
          <w:color w:val="000000"/>
          <w:sz w:val="24"/>
          <w:szCs w:val="24"/>
          <w:lang w:val="fr-CA"/>
        </w:rPr>
        <w:t>;</w:t>
      </w:r>
    </w:p>
    <w:p w14:paraId="0AE2009E" w14:textId="77777777" w:rsidR="00385301" w:rsidRDefault="00882D31">
      <w:pPr>
        <w:numPr>
          <w:ilvl w:val="0"/>
          <w:numId w:val="9"/>
        </w:numPr>
        <w:pBdr>
          <w:top w:val="nil"/>
          <w:left w:val="nil"/>
          <w:bottom w:val="nil"/>
          <w:right w:val="nil"/>
          <w:between w:val="nil"/>
        </w:pBdr>
        <w:tabs>
          <w:tab w:val="left" w:pos="1180"/>
        </w:tabs>
        <w:spacing w:line="360" w:lineRule="auto"/>
        <w:ind w:right="119"/>
        <w:jc w:val="both"/>
        <w:rPr>
          <w:color w:val="000000"/>
          <w:sz w:val="24"/>
          <w:szCs w:val="24"/>
        </w:rPr>
      </w:pPr>
      <w:proofErr w:type="gramStart"/>
      <w:r>
        <w:rPr>
          <w:color w:val="000000"/>
          <w:sz w:val="24"/>
          <w:szCs w:val="24"/>
          <w:lang w:val="fr-CA"/>
        </w:rPr>
        <w:t>la</w:t>
      </w:r>
      <w:proofErr w:type="gramEnd"/>
      <w:r>
        <w:rPr>
          <w:color w:val="000000"/>
          <w:sz w:val="24"/>
          <w:szCs w:val="24"/>
          <w:lang w:val="fr-CA"/>
        </w:rPr>
        <w:t xml:space="preserve"> </w:t>
      </w:r>
      <w:proofErr w:type="spellStart"/>
      <w:r>
        <w:rPr>
          <w:color w:val="000000"/>
          <w:sz w:val="24"/>
          <w:szCs w:val="24"/>
          <w:lang w:val="fr-CA"/>
        </w:rPr>
        <w:t>SÉQ</w:t>
      </w:r>
      <w:proofErr w:type="spellEnd"/>
      <w:r>
        <w:rPr>
          <w:color w:val="000000"/>
          <w:sz w:val="24"/>
          <w:szCs w:val="24"/>
          <w:lang w:val="fr-CA"/>
        </w:rPr>
        <w:t xml:space="preserve"> doit examiner les options possibles une fois les propositions reçues dans le but de revoir le projet si le coût des propositions varie de façon considérable de l’estimation initiale de 32,357 millions de dollars et informer le </w:t>
      </w:r>
      <w:proofErr w:type="spellStart"/>
      <w:r>
        <w:rPr>
          <w:color w:val="000000"/>
          <w:sz w:val="24"/>
          <w:szCs w:val="24"/>
          <w:lang w:val="fr-CA"/>
        </w:rPr>
        <w:t>CETES</w:t>
      </w:r>
      <w:proofErr w:type="spellEnd"/>
      <w:r>
        <w:rPr>
          <w:color w:val="000000"/>
          <w:sz w:val="24"/>
          <w:szCs w:val="24"/>
          <w:lang w:val="fr-CA"/>
        </w:rPr>
        <w:t xml:space="preserve"> de ses conclusions. Le </w:t>
      </w:r>
      <w:proofErr w:type="spellStart"/>
      <w:r>
        <w:rPr>
          <w:color w:val="000000"/>
          <w:sz w:val="24"/>
          <w:szCs w:val="24"/>
          <w:lang w:val="fr-CA"/>
        </w:rPr>
        <w:t>CETES</w:t>
      </w:r>
      <w:proofErr w:type="spellEnd"/>
      <w:r>
        <w:rPr>
          <w:color w:val="000000"/>
          <w:sz w:val="24"/>
          <w:szCs w:val="24"/>
          <w:lang w:val="fr-CA"/>
        </w:rPr>
        <w:t xml:space="preserve"> estime qu’un écart supérieur à 25 % par rapport à l’estimation initiale est une variance considérable.</w:t>
      </w:r>
    </w:p>
    <w:p w14:paraId="1B3E71A9" w14:textId="77777777" w:rsidR="00385301" w:rsidRDefault="00385301">
      <w:pPr>
        <w:tabs>
          <w:tab w:val="left" w:pos="1180"/>
        </w:tabs>
        <w:spacing w:line="360" w:lineRule="auto"/>
        <w:ind w:left="820" w:right="119"/>
        <w:rPr>
          <w:sz w:val="24"/>
          <w:szCs w:val="24"/>
        </w:rPr>
      </w:pPr>
    </w:p>
    <w:p w14:paraId="459B2614" w14:textId="77777777" w:rsidR="00385301" w:rsidRDefault="00385301">
      <w:pPr>
        <w:tabs>
          <w:tab w:val="left" w:pos="1180"/>
        </w:tabs>
        <w:spacing w:line="360" w:lineRule="auto"/>
        <w:ind w:left="820" w:right="119"/>
        <w:rPr>
          <w:sz w:val="24"/>
          <w:szCs w:val="24"/>
        </w:rPr>
        <w:sectPr w:rsidR="00385301" w:rsidSect="00F24A93">
          <w:pgSz w:w="12240" w:h="15840" w:code="1"/>
          <w:pgMar w:top="1440" w:right="1310" w:bottom="1138" w:left="1310" w:header="720" w:footer="720" w:gutter="0"/>
          <w:cols w:space="720" w:equalWidth="0">
            <w:col w:w="9370"/>
          </w:cols>
        </w:sectPr>
      </w:pPr>
    </w:p>
    <w:p w14:paraId="6C10A441" w14:textId="77777777" w:rsidR="00F24A93" w:rsidRDefault="00F24A93" w:rsidP="00F24A93">
      <w:pPr>
        <w:pStyle w:val="URRCHeading1"/>
        <w:numPr>
          <w:ilvl w:val="0"/>
          <w:numId w:val="0"/>
        </w:numPr>
        <w:ind w:left="936"/>
      </w:pPr>
      <w:bookmarkStart w:id="26" w:name="_heading=h.3j2qqm3" w:colFirst="0" w:colLast="0"/>
      <w:bookmarkStart w:id="27" w:name="bookmark=id.z337ya" w:colFirst="0" w:colLast="0"/>
      <w:bookmarkEnd w:id="26"/>
      <w:bookmarkEnd w:id="27"/>
    </w:p>
    <w:p w14:paraId="557A4D65" w14:textId="77777777" w:rsidR="00385301" w:rsidRDefault="00882D31" w:rsidP="004033EA">
      <w:pPr>
        <w:pStyle w:val="URRCHeading1"/>
      </w:pPr>
      <w:bookmarkStart w:id="28" w:name="_Toc84252933"/>
      <w:r>
        <w:rPr>
          <w:bCs/>
          <w:lang w:val="fr-CA"/>
        </w:rPr>
        <w:t xml:space="preserve">RECOMMANDATION DU </w:t>
      </w:r>
      <w:proofErr w:type="spellStart"/>
      <w:r>
        <w:rPr>
          <w:bCs/>
          <w:lang w:val="fr-CA"/>
        </w:rPr>
        <w:t>CETES</w:t>
      </w:r>
      <w:bookmarkEnd w:id="28"/>
      <w:proofErr w:type="spellEnd"/>
    </w:p>
    <w:p w14:paraId="4FF7F83A" w14:textId="77777777" w:rsidR="00DD3151" w:rsidRPr="00DD3151" w:rsidRDefault="00DD3151">
      <w:pPr>
        <w:tabs>
          <w:tab w:val="left" w:pos="819"/>
        </w:tabs>
        <w:spacing w:before="89"/>
        <w:ind w:left="100"/>
        <w:rPr>
          <w:b/>
          <w:sz w:val="24"/>
          <w:szCs w:val="24"/>
        </w:rPr>
      </w:pPr>
    </w:p>
    <w:p w14:paraId="76FAAF6B" w14:textId="77777777" w:rsidR="00385301" w:rsidRDefault="00882D31">
      <w:pPr>
        <w:numPr>
          <w:ilvl w:val="2"/>
          <w:numId w:val="4"/>
        </w:numPr>
        <w:pBdr>
          <w:top w:val="nil"/>
          <w:left w:val="nil"/>
          <w:bottom w:val="nil"/>
          <w:right w:val="nil"/>
          <w:between w:val="nil"/>
        </w:pBdr>
        <w:tabs>
          <w:tab w:val="left" w:pos="885"/>
        </w:tabs>
        <w:spacing w:before="157"/>
        <w:jc w:val="both"/>
        <w:rPr>
          <w:color w:val="000000"/>
          <w:sz w:val="24"/>
          <w:szCs w:val="24"/>
        </w:rPr>
      </w:pPr>
      <w:r>
        <w:rPr>
          <w:color w:val="000000"/>
          <w:sz w:val="24"/>
          <w:szCs w:val="24"/>
          <w:lang w:val="fr-CA"/>
        </w:rPr>
        <w:t xml:space="preserve">Après l’examen des questions soulevées ci-dessus, le </w:t>
      </w:r>
      <w:proofErr w:type="spellStart"/>
      <w:r>
        <w:rPr>
          <w:color w:val="000000"/>
          <w:sz w:val="24"/>
          <w:szCs w:val="24"/>
          <w:lang w:val="fr-CA"/>
        </w:rPr>
        <w:t>CETES</w:t>
      </w:r>
      <w:proofErr w:type="spellEnd"/>
      <w:r>
        <w:rPr>
          <w:color w:val="000000"/>
          <w:sz w:val="24"/>
          <w:szCs w:val="24"/>
          <w:lang w:val="fr-CA"/>
        </w:rPr>
        <w:t xml:space="preserve"> formule la recommandation suivante :</w:t>
      </w:r>
    </w:p>
    <w:p w14:paraId="0A28A0B9" w14:textId="4C8E3D47" w:rsidR="00385301" w:rsidRPr="00665651" w:rsidRDefault="006B7845">
      <w:pPr>
        <w:numPr>
          <w:ilvl w:val="0"/>
          <w:numId w:val="8"/>
        </w:numPr>
        <w:pBdr>
          <w:top w:val="nil"/>
          <w:left w:val="nil"/>
          <w:bottom w:val="nil"/>
          <w:right w:val="nil"/>
          <w:between w:val="nil"/>
        </w:pBdr>
        <w:tabs>
          <w:tab w:val="left" w:pos="1540"/>
        </w:tabs>
        <w:spacing w:before="139" w:line="360" w:lineRule="auto"/>
        <w:ind w:right="117"/>
        <w:jc w:val="both"/>
        <w:rPr>
          <w:sz w:val="24"/>
          <w:szCs w:val="24"/>
        </w:rPr>
      </w:pPr>
      <w:proofErr w:type="gramStart"/>
      <w:r>
        <w:rPr>
          <w:sz w:val="24"/>
          <w:szCs w:val="24"/>
          <w:lang w:val="fr-CA"/>
        </w:rPr>
        <w:t>que</w:t>
      </w:r>
      <w:proofErr w:type="gramEnd"/>
      <w:r>
        <w:rPr>
          <w:sz w:val="24"/>
          <w:szCs w:val="24"/>
          <w:lang w:val="fr-CA"/>
        </w:rPr>
        <w:t xml:space="preserve"> </w:t>
      </w:r>
      <w:r w:rsidR="00882D31">
        <w:rPr>
          <w:sz w:val="24"/>
          <w:szCs w:val="24"/>
          <w:lang w:val="fr-CA"/>
        </w:rPr>
        <w:t xml:space="preserve">l’approbation du permis de projet d’immobilisation majeur pour la construction d’une nouvelle centrale électrique à </w:t>
      </w:r>
      <w:proofErr w:type="spellStart"/>
      <w:r w:rsidR="00882D31">
        <w:rPr>
          <w:sz w:val="24"/>
          <w:szCs w:val="24"/>
          <w:lang w:val="fr-CA"/>
        </w:rPr>
        <w:t>Arctic</w:t>
      </w:r>
      <w:proofErr w:type="spellEnd"/>
      <w:r w:rsidR="00882D31">
        <w:rPr>
          <w:sz w:val="24"/>
          <w:szCs w:val="24"/>
          <w:lang w:val="fr-CA"/>
        </w:rPr>
        <w:t xml:space="preserve"> Bay, tel que décrit dans la demande et aux réponses à la demande d’information, soit approuvée</w:t>
      </w:r>
      <w:r>
        <w:rPr>
          <w:sz w:val="24"/>
          <w:szCs w:val="24"/>
          <w:lang w:val="fr-CA"/>
        </w:rPr>
        <w:t>;</w:t>
      </w:r>
    </w:p>
    <w:p w14:paraId="53AA8EA1" w14:textId="10572D83" w:rsidR="00385301" w:rsidRDefault="006B7845">
      <w:pPr>
        <w:numPr>
          <w:ilvl w:val="0"/>
          <w:numId w:val="8"/>
        </w:numPr>
        <w:pBdr>
          <w:top w:val="nil"/>
          <w:left w:val="nil"/>
          <w:bottom w:val="nil"/>
          <w:right w:val="nil"/>
          <w:between w:val="nil"/>
        </w:pBdr>
        <w:tabs>
          <w:tab w:val="left" w:pos="1540"/>
        </w:tabs>
        <w:spacing w:before="139" w:line="360" w:lineRule="auto"/>
        <w:ind w:right="117"/>
        <w:jc w:val="both"/>
        <w:rPr>
          <w:sz w:val="24"/>
          <w:szCs w:val="24"/>
        </w:rPr>
      </w:pPr>
      <w:proofErr w:type="gramStart"/>
      <w:r>
        <w:rPr>
          <w:sz w:val="24"/>
          <w:szCs w:val="24"/>
          <w:lang w:val="fr-CA"/>
        </w:rPr>
        <w:t>q</w:t>
      </w:r>
      <w:r w:rsidR="00882D31">
        <w:rPr>
          <w:sz w:val="24"/>
          <w:szCs w:val="24"/>
          <w:lang w:val="fr-CA"/>
        </w:rPr>
        <w:t>ue</w:t>
      </w:r>
      <w:proofErr w:type="gramEnd"/>
      <w:r w:rsidR="00882D31">
        <w:rPr>
          <w:sz w:val="24"/>
          <w:szCs w:val="24"/>
          <w:lang w:val="fr-CA"/>
        </w:rPr>
        <w:t xml:space="preserve"> si les coûts prévus après les appels d’offres dépassent de plus de 25 pour cent les coûts proposés de 32,357 millions de dollars, que la </w:t>
      </w:r>
      <w:proofErr w:type="spellStart"/>
      <w:r w:rsidR="00882D31">
        <w:rPr>
          <w:sz w:val="24"/>
          <w:szCs w:val="24"/>
          <w:lang w:val="fr-CA"/>
        </w:rPr>
        <w:t>SÉQ</w:t>
      </w:r>
      <w:proofErr w:type="spellEnd"/>
      <w:r w:rsidR="00882D31">
        <w:rPr>
          <w:sz w:val="24"/>
          <w:szCs w:val="24"/>
          <w:lang w:val="fr-CA"/>
        </w:rPr>
        <w:t xml:space="preserve"> soit tenue de préparer et de soumettre une nouvelle demande de permis pour projet majeur au ministre responsable de la </w:t>
      </w:r>
      <w:proofErr w:type="spellStart"/>
      <w:r w:rsidR="00882D31">
        <w:rPr>
          <w:sz w:val="24"/>
          <w:szCs w:val="24"/>
          <w:lang w:val="fr-CA"/>
        </w:rPr>
        <w:t>SÉQ</w:t>
      </w:r>
      <w:proofErr w:type="spellEnd"/>
      <w:r w:rsidR="00972E9B">
        <w:rPr>
          <w:sz w:val="24"/>
          <w:szCs w:val="24"/>
          <w:lang w:val="fr-CA"/>
        </w:rPr>
        <w:t>;</w:t>
      </w:r>
    </w:p>
    <w:p w14:paraId="512EA3E2" w14:textId="7B79A5F8" w:rsidR="00385301" w:rsidRDefault="00972E9B">
      <w:pPr>
        <w:numPr>
          <w:ilvl w:val="0"/>
          <w:numId w:val="8"/>
        </w:numPr>
        <w:pBdr>
          <w:top w:val="nil"/>
          <w:left w:val="nil"/>
          <w:bottom w:val="nil"/>
          <w:right w:val="nil"/>
          <w:between w:val="nil"/>
        </w:pBdr>
        <w:tabs>
          <w:tab w:val="left" w:pos="1540"/>
        </w:tabs>
        <w:spacing w:before="1" w:line="360" w:lineRule="auto"/>
        <w:ind w:right="119"/>
        <w:jc w:val="both"/>
        <w:rPr>
          <w:color w:val="000000"/>
          <w:sz w:val="24"/>
          <w:szCs w:val="24"/>
        </w:rPr>
      </w:pPr>
      <w:bookmarkStart w:id="29" w:name="_heading=h.1y810tw" w:colFirst="0" w:colLast="0"/>
      <w:bookmarkEnd w:id="29"/>
      <w:proofErr w:type="gramStart"/>
      <w:r>
        <w:rPr>
          <w:color w:val="000000"/>
          <w:sz w:val="24"/>
          <w:szCs w:val="24"/>
          <w:lang w:val="fr-CA"/>
        </w:rPr>
        <w:t>q</w:t>
      </w:r>
      <w:r w:rsidR="00882D31">
        <w:rPr>
          <w:color w:val="000000"/>
          <w:sz w:val="24"/>
          <w:szCs w:val="24"/>
          <w:lang w:val="fr-CA"/>
        </w:rPr>
        <w:t>ue</w:t>
      </w:r>
      <w:proofErr w:type="gramEnd"/>
      <w:r w:rsidR="00882D31">
        <w:rPr>
          <w:color w:val="000000"/>
          <w:sz w:val="24"/>
          <w:szCs w:val="24"/>
          <w:lang w:val="fr-CA"/>
        </w:rPr>
        <w:t xml:space="preserve"> la prudence du coût réel du projet soit évaluée au moment où l’intégration du projet au tarif de base est proposée.</w:t>
      </w:r>
    </w:p>
    <w:p w14:paraId="0551F670" w14:textId="77777777" w:rsidR="00385301" w:rsidRDefault="00385301">
      <w:pPr>
        <w:pBdr>
          <w:top w:val="nil"/>
          <w:left w:val="nil"/>
          <w:bottom w:val="nil"/>
          <w:right w:val="nil"/>
          <w:between w:val="nil"/>
        </w:pBdr>
        <w:spacing w:before="10"/>
        <w:rPr>
          <w:color w:val="000000"/>
          <w:sz w:val="35"/>
          <w:szCs w:val="35"/>
        </w:rPr>
      </w:pPr>
    </w:p>
    <w:p w14:paraId="3467D84B" w14:textId="77777777" w:rsidR="00385301" w:rsidRDefault="00882D31">
      <w:pPr>
        <w:numPr>
          <w:ilvl w:val="2"/>
          <w:numId w:val="4"/>
        </w:numPr>
        <w:pBdr>
          <w:top w:val="nil"/>
          <w:left w:val="nil"/>
          <w:bottom w:val="nil"/>
          <w:right w:val="nil"/>
          <w:between w:val="nil"/>
        </w:pBdr>
        <w:tabs>
          <w:tab w:val="left" w:pos="885"/>
        </w:tabs>
        <w:spacing w:line="360" w:lineRule="auto"/>
        <w:ind w:right="120"/>
        <w:jc w:val="both"/>
        <w:rPr>
          <w:color w:val="000000"/>
          <w:sz w:val="24"/>
          <w:szCs w:val="24"/>
        </w:rPr>
      </w:pPr>
      <w:r>
        <w:rPr>
          <w:color w:val="000000"/>
          <w:sz w:val="24"/>
          <w:szCs w:val="24"/>
          <w:lang w:val="fr-CA"/>
        </w:rPr>
        <w:t xml:space="preserve">Le présent rapport ne porte d’aucune manière atteinte à la capacité du </w:t>
      </w:r>
      <w:proofErr w:type="spellStart"/>
      <w:r>
        <w:rPr>
          <w:color w:val="000000"/>
          <w:sz w:val="24"/>
          <w:szCs w:val="24"/>
          <w:lang w:val="fr-CA"/>
        </w:rPr>
        <w:t>CETES</w:t>
      </w:r>
      <w:proofErr w:type="spellEnd"/>
      <w:r>
        <w:rPr>
          <w:color w:val="000000"/>
          <w:sz w:val="24"/>
          <w:szCs w:val="24"/>
          <w:lang w:val="fr-CA"/>
        </w:rPr>
        <w:t xml:space="preserve"> d’examiner d’autres questions ayant trait à la </w:t>
      </w:r>
      <w:proofErr w:type="spellStart"/>
      <w:r>
        <w:rPr>
          <w:color w:val="000000"/>
          <w:sz w:val="24"/>
          <w:szCs w:val="24"/>
          <w:lang w:val="fr-CA"/>
        </w:rPr>
        <w:t>SÉQ</w:t>
      </w:r>
      <w:proofErr w:type="spellEnd"/>
      <w:r>
        <w:rPr>
          <w:color w:val="000000"/>
          <w:sz w:val="24"/>
          <w:szCs w:val="24"/>
          <w:lang w:val="fr-CA"/>
        </w:rPr>
        <w:t>.</w:t>
      </w:r>
    </w:p>
    <w:p w14:paraId="0EE1722B" w14:textId="77777777" w:rsidR="00385301" w:rsidRDefault="00385301">
      <w:pPr>
        <w:pBdr>
          <w:top w:val="nil"/>
          <w:left w:val="nil"/>
          <w:bottom w:val="nil"/>
          <w:right w:val="nil"/>
          <w:between w:val="nil"/>
        </w:pBdr>
        <w:rPr>
          <w:color w:val="000000"/>
          <w:sz w:val="26"/>
          <w:szCs w:val="26"/>
        </w:rPr>
      </w:pPr>
    </w:p>
    <w:p w14:paraId="79E58295" w14:textId="77777777" w:rsidR="00385301" w:rsidRDefault="00385301">
      <w:pPr>
        <w:pBdr>
          <w:top w:val="nil"/>
          <w:left w:val="nil"/>
          <w:bottom w:val="nil"/>
          <w:right w:val="nil"/>
          <w:between w:val="nil"/>
        </w:pBdr>
        <w:spacing w:before="6"/>
        <w:rPr>
          <w:color w:val="000000"/>
          <w:sz w:val="34"/>
          <w:szCs w:val="34"/>
        </w:rPr>
      </w:pPr>
    </w:p>
    <w:p w14:paraId="74CF7959" w14:textId="77777777" w:rsidR="00385301" w:rsidRDefault="00882D31">
      <w:pPr>
        <w:pStyle w:val="Heading1"/>
      </w:pPr>
      <w:r>
        <w:rPr>
          <w:lang w:val="fr-CA"/>
        </w:rPr>
        <w:t>AU NOM DU</w:t>
      </w:r>
    </w:p>
    <w:p w14:paraId="566F48D6" w14:textId="77777777" w:rsidR="00385301" w:rsidRDefault="00385301">
      <w:pPr>
        <w:pBdr>
          <w:top w:val="nil"/>
          <w:left w:val="nil"/>
          <w:bottom w:val="nil"/>
          <w:right w:val="nil"/>
          <w:between w:val="nil"/>
        </w:pBdr>
        <w:rPr>
          <w:b/>
          <w:color w:val="000000"/>
          <w:sz w:val="26"/>
          <w:szCs w:val="26"/>
        </w:rPr>
      </w:pPr>
    </w:p>
    <w:p w14:paraId="064A1D2D" w14:textId="77777777" w:rsidR="00385301" w:rsidRDefault="00385301">
      <w:pPr>
        <w:pBdr>
          <w:top w:val="nil"/>
          <w:left w:val="nil"/>
          <w:bottom w:val="nil"/>
          <w:right w:val="nil"/>
          <w:between w:val="nil"/>
        </w:pBdr>
        <w:rPr>
          <w:b/>
          <w:color w:val="000000"/>
        </w:rPr>
      </w:pPr>
    </w:p>
    <w:p w14:paraId="644DFC3F" w14:textId="15943E7D" w:rsidR="00385301" w:rsidRDefault="00882D31" w:rsidP="004A1BF6">
      <w:pPr>
        <w:ind w:left="2340"/>
        <w:rPr>
          <w:b/>
          <w:sz w:val="24"/>
          <w:szCs w:val="24"/>
        </w:rPr>
      </w:pPr>
      <w:r>
        <w:rPr>
          <w:b/>
          <w:bCs/>
          <w:sz w:val="24"/>
          <w:szCs w:val="24"/>
          <w:lang w:val="fr-CA"/>
        </w:rPr>
        <w:t xml:space="preserve">CONSEIL D’EXAMEN DES TAUX DES ENTREPRISES </w:t>
      </w:r>
      <w:r w:rsidR="00C11494">
        <w:rPr>
          <w:b/>
          <w:bCs/>
          <w:sz w:val="24"/>
          <w:szCs w:val="24"/>
          <w:lang w:val="fr-CA"/>
        </w:rPr>
        <w:t>DE </w:t>
      </w:r>
      <w:r>
        <w:rPr>
          <w:b/>
          <w:bCs/>
          <w:sz w:val="24"/>
          <w:szCs w:val="24"/>
          <w:lang w:val="fr-CA"/>
        </w:rPr>
        <w:t>SERVICE</w:t>
      </w:r>
      <w:r w:rsidR="00954B7B">
        <w:rPr>
          <w:b/>
          <w:bCs/>
          <w:sz w:val="24"/>
          <w:szCs w:val="24"/>
          <w:lang w:val="fr-CA"/>
        </w:rPr>
        <w:t>S</w:t>
      </w:r>
      <w:r>
        <w:rPr>
          <w:b/>
          <w:bCs/>
          <w:sz w:val="24"/>
          <w:szCs w:val="24"/>
          <w:lang w:val="fr-CA"/>
        </w:rPr>
        <w:t xml:space="preserve"> DU NUNAVUT</w:t>
      </w:r>
      <w:r>
        <w:rPr>
          <w:noProof/>
          <w:lang w:val="fr-CA"/>
        </w:rPr>
        <mc:AlternateContent>
          <mc:Choice Requires="wps">
            <w:drawing>
              <wp:anchor distT="0" distB="0" distL="0" distR="0" simplePos="0" relativeHeight="251655168" behindDoc="0" locked="0" layoutInCell="1" hidden="0" allowOverlap="1" wp14:anchorId="27EFDA35" wp14:editId="3792F274">
                <wp:simplePos x="0" y="0"/>
                <wp:positionH relativeFrom="column">
                  <wp:posOffset>5295900</wp:posOffset>
                </wp:positionH>
                <wp:positionV relativeFrom="paragraph">
                  <wp:posOffset>1778000</wp:posOffset>
                </wp:positionV>
                <wp:extent cx="12700" cy="12700"/>
                <wp:effectExtent l="0" t="0" r="0" b="0"/>
                <wp:wrapTopAndBottom distT="0" distB="0"/>
                <wp:docPr id="12" name="Straight Arrow Connector 1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45BE4A5" id="Straight Arrow Connector 12" o:spid="_x0000_s1026" type="#_x0000_t32" style="position:absolute;margin-left:417pt;margin-top:140pt;width:1pt;height:1pt;z-index:2516551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PC4QEAAL4DAAAOAAAAZHJzL2Uyb0RvYy54bWysU8mOEzEQvSPxD5bvpDsZMgytdEYoYbgg&#10;iDTwAY6XbkveVOVJJ39P2clkWC4I0Qd32bW991xe3R+9YwcNaGPo+XzWcqaDjMqGoeffvz28ueMM&#10;swhKuBh0z08a+f369avVlDq9iGN0SgOjIgG7KfV8zDl1TYNy1F7gLCYdyGkieJFpC0OjQExU3btm&#10;0ba3zRRBJYhSI9Lp9uzk61rfGC3zV2NQZ+Z6TthyXaGu+7I265XoBhBptPICQ/wDCi9soKbXUluR&#10;BXsC+0cpbyVEjCbPZPRNNMZKXTkQm3n7G5vHUSRduZA4mK4y4f8rK78cdsCsortbcBaEpzt6zCDs&#10;MGb2ASBObBNDIB0jMAohvaaEHaVtwg4uO0w7KOSPBnz5Ey127Pny5u1t25Lqp57fvLsj86K3PmYm&#10;KYBcknz1tHlJT4D5k46eFaPneIFzxTGvSovDZ8wEgBKfE0rvEB+sc/VaXWBTz98vF0vqI2i4jBOZ&#10;TJ+ILoahlsHorCopJRlh2G8csIMo41K/wpha/BJW+m0Fjue46joPEsSnoGrvUQv1MSiWT4kUDTT7&#10;vIDxWnHmND2VYtXILKz7m0gC4QJhKfKfBS/WPqpTvYd6TkNS0V4Gukzhz/ua/fLs1j8AAAD//wMA&#10;UEsDBBQABgAIAAAAIQCayVmE3wAAAAsBAAAPAAAAZHJzL2Rvd25yZXYueG1sTI9BT8MwDIXvSPyH&#10;yJO4IJasG1MpTacJiQNHtklcs8a0ZY1TNela9uvxTuP2bD89fy/fTK4VZ+xD40nDYq5AIJXeNlRp&#10;OOzfn1IQIRqypvWEGn4xwKa4v8tNZv1In3jexUpwCIXMaKhj7DIpQ1mjM2HuOyS+ffvemchjX0nb&#10;m5HDXSsTpdbSmYb4Q206fKuxPO0GpwHD8LxQ2xdXHT4u4+NXcvkZu73WD7Np+woi4hRvZrjiMzoU&#10;zHT0A9kgWg3pcsVdooYkVSzYkS7XLI7XTaJAFrn836H4AwAA//8DAFBLAQItABQABgAIAAAAIQC2&#10;gziS/gAAAOEBAAATAAAAAAAAAAAAAAAAAAAAAABbQ29udGVudF9UeXBlc10ueG1sUEsBAi0AFAAG&#10;AAgAAAAhADj9If/WAAAAlAEAAAsAAAAAAAAAAAAAAAAALwEAAF9yZWxzLy5yZWxzUEsBAi0AFAAG&#10;AAgAAAAhAEjX08LhAQAAvgMAAA4AAAAAAAAAAAAAAAAALgIAAGRycy9lMm9Eb2MueG1sUEsBAi0A&#10;FAAGAAgAAAAhAJrJWYTfAAAACwEAAA8AAAAAAAAAAAAAAAAAOwQAAGRycy9kb3ducmV2LnhtbFBL&#10;BQYAAAAABAAEAPMAAABHBQAAAAA=&#10;">
                <w10:wrap type="topAndBottom"/>
              </v:shape>
            </w:pict>
          </mc:Fallback>
        </mc:AlternateContent>
      </w:r>
    </w:p>
    <w:p w14:paraId="1AE31F78" w14:textId="77777777" w:rsidR="00385301" w:rsidRDefault="00882D31">
      <w:pPr>
        <w:pBdr>
          <w:top w:val="nil"/>
          <w:left w:val="nil"/>
          <w:bottom w:val="nil"/>
          <w:right w:val="nil"/>
          <w:between w:val="nil"/>
        </w:pBdr>
        <w:spacing w:before="9"/>
        <w:jc w:val="right"/>
        <w:rPr>
          <w:b/>
          <w:color w:val="000000"/>
        </w:rPr>
      </w:pPr>
      <w:r>
        <w:rPr>
          <w:b/>
          <w:bCs/>
          <w:noProof/>
          <w:color w:val="000000"/>
          <w:u w:val="single"/>
          <w:lang w:val="fr-CA"/>
        </w:rPr>
        <w:drawing>
          <wp:inline distT="0" distB="0" distL="0" distR="0" wp14:anchorId="1B6C25C2" wp14:editId="1EF1403F">
            <wp:extent cx="3451867" cy="1283211"/>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3451867" cy="1283211"/>
                    </a:xfrm>
                    <a:prstGeom prst="rect">
                      <a:avLst/>
                    </a:prstGeom>
                    <a:ln/>
                  </pic:spPr>
                </pic:pic>
              </a:graphicData>
            </a:graphic>
          </wp:inline>
        </w:drawing>
      </w:r>
    </w:p>
    <w:p w14:paraId="163AED94" w14:textId="04E121D2" w:rsidR="00385301" w:rsidRDefault="00882D31">
      <w:pPr>
        <w:spacing w:before="137" w:line="360" w:lineRule="auto"/>
        <w:ind w:left="4419" w:right="508"/>
        <w:jc w:val="right"/>
        <w:rPr>
          <w:b/>
          <w:sz w:val="24"/>
          <w:szCs w:val="24"/>
        </w:rPr>
      </w:pPr>
      <w:r>
        <w:rPr>
          <w:b/>
          <w:bCs/>
          <w:sz w:val="24"/>
          <w:szCs w:val="24"/>
          <w:lang w:val="fr-CA"/>
        </w:rPr>
        <w:t xml:space="preserve">DATE : </w:t>
      </w:r>
      <w:r w:rsidR="00972E9B">
        <w:rPr>
          <w:b/>
          <w:bCs/>
          <w:sz w:val="24"/>
          <w:szCs w:val="24"/>
          <w:lang w:val="fr-CA"/>
        </w:rPr>
        <w:t>l</w:t>
      </w:r>
      <w:r>
        <w:rPr>
          <w:b/>
          <w:bCs/>
          <w:sz w:val="24"/>
          <w:szCs w:val="24"/>
          <w:lang w:val="fr-CA"/>
        </w:rPr>
        <w:t xml:space="preserve">e 5 février 2020 </w:t>
      </w:r>
    </w:p>
    <w:p w14:paraId="6DB8F5F8" w14:textId="77777777" w:rsidR="00385301" w:rsidRDefault="00882D31">
      <w:pPr>
        <w:spacing w:before="137" w:line="360" w:lineRule="auto"/>
        <w:ind w:left="4419" w:right="508"/>
        <w:jc w:val="right"/>
        <w:rPr>
          <w:b/>
          <w:sz w:val="24"/>
          <w:szCs w:val="24"/>
        </w:rPr>
      </w:pPr>
      <w:r>
        <w:rPr>
          <w:b/>
          <w:bCs/>
          <w:sz w:val="24"/>
          <w:szCs w:val="24"/>
          <w:lang w:val="fr-CA"/>
        </w:rPr>
        <w:t>Anthony Rose</w:t>
      </w:r>
    </w:p>
    <w:p w14:paraId="6BC11591" w14:textId="1377A929" w:rsidR="00385301" w:rsidRDefault="00882D31">
      <w:pPr>
        <w:ind w:left="1672" w:right="508"/>
        <w:jc w:val="right"/>
        <w:rPr>
          <w:b/>
          <w:sz w:val="24"/>
          <w:szCs w:val="24"/>
        </w:rPr>
      </w:pPr>
      <w:r>
        <w:rPr>
          <w:b/>
          <w:bCs/>
          <w:sz w:val="24"/>
          <w:szCs w:val="24"/>
          <w:lang w:val="fr-CA"/>
        </w:rPr>
        <w:t>Président, Conseil d’examen des taux des entreprises de service</w:t>
      </w:r>
      <w:r w:rsidR="00954B7B">
        <w:rPr>
          <w:b/>
          <w:bCs/>
          <w:sz w:val="24"/>
          <w:szCs w:val="24"/>
          <w:lang w:val="fr-CA"/>
        </w:rPr>
        <w:t>s</w:t>
      </w:r>
    </w:p>
    <w:sectPr w:rsidR="00385301" w:rsidSect="00536DDB">
      <w:pgSz w:w="12240" w:h="15840" w:code="1"/>
      <w:pgMar w:top="1411" w:right="1310" w:bottom="1138" w:left="1310" w:header="720" w:footer="720" w:gutter="0"/>
      <w:cols w:space="720" w:equalWidth="0">
        <w:col w:w="93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6D4C" w14:textId="77777777" w:rsidR="00ED42BE" w:rsidRDefault="00ED42BE">
      <w:r>
        <w:separator/>
      </w:r>
    </w:p>
  </w:endnote>
  <w:endnote w:type="continuationSeparator" w:id="0">
    <w:p w14:paraId="3D46BDE3" w14:textId="77777777" w:rsidR="00ED42BE" w:rsidRDefault="00ED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0B5F" w14:textId="77777777" w:rsidR="00C55B72" w:rsidRPr="00536DDB" w:rsidRDefault="00C55B72" w:rsidP="00C55B72">
    <w:pPr>
      <w:pStyle w:val="Footer"/>
      <w:jc w:val="right"/>
      <w:rPr>
        <w:sz w:val="20"/>
        <w:szCs w:val="20"/>
      </w:rPr>
    </w:pPr>
    <w:r>
      <w:rPr>
        <w:sz w:val="20"/>
        <w:szCs w:val="20"/>
        <w:lang w:val="fr-CA"/>
      </w:rPr>
      <w:t xml:space="preserve">Page </w:t>
    </w:r>
    <w:r>
      <w:rPr>
        <w:sz w:val="20"/>
        <w:szCs w:val="20"/>
        <w:lang w:val="fr-CA"/>
      </w:rPr>
      <w:fldChar w:fldCharType="begin"/>
    </w:r>
    <w:r>
      <w:rPr>
        <w:sz w:val="20"/>
        <w:szCs w:val="20"/>
        <w:lang w:val="fr-CA"/>
      </w:rPr>
      <w:instrText xml:space="preserve"> PAGE   \* MERGEFORMAT </w:instrText>
    </w:r>
    <w:r>
      <w:rPr>
        <w:sz w:val="20"/>
        <w:szCs w:val="20"/>
        <w:lang w:val="fr-CA"/>
      </w:rPr>
      <w:fldChar w:fldCharType="separate"/>
    </w:r>
    <w:r>
      <w:rPr>
        <w:noProof/>
        <w:sz w:val="20"/>
        <w:szCs w:val="20"/>
        <w:lang w:val="fr-CA"/>
      </w:rPr>
      <w:t>1</w:t>
    </w:r>
    <w:r>
      <w:rPr>
        <w:noProof/>
        <w:sz w:val="20"/>
        <w:szCs w:val="20"/>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7C69" w14:textId="77777777" w:rsidR="00536DDB" w:rsidRPr="00536DDB" w:rsidRDefault="00536DDB" w:rsidP="00C55B72">
    <w:pPr>
      <w:pStyle w:val="Footer"/>
      <w:jc w:val="right"/>
      <w:rPr>
        <w:sz w:val="20"/>
        <w:szCs w:val="20"/>
      </w:rPr>
    </w:pPr>
    <w:r>
      <w:rPr>
        <w:sz w:val="20"/>
        <w:szCs w:val="20"/>
        <w:lang w:val="fr-CA"/>
      </w:rPr>
      <w:t xml:space="preserve">Page </w:t>
    </w:r>
    <w:r>
      <w:rPr>
        <w:sz w:val="20"/>
        <w:szCs w:val="20"/>
        <w:lang w:val="fr-CA"/>
      </w:rPr>
      <w:fldChar w:fldCharType="begin"/>
    </w:r>
    <w:r>
      <w:rPr>
        <w:sz w:val="20"/>
        <w:szCs w:val="20"/>
        <w:lang w:val="fr-CA"/>
      </w:rPr>
      <w:instrText xml:space="preserve"> PAGE   \* MERGEFORMAT </w:instrText>
    </w:r>
    <w:r>
      <w:rPr>
        <w:sz w:val="20"/>
        <w:szCs w:val="20"/>
        <w:lang w:val="fr-CA"/>
      </w:rPr>
      <w:fldChar w:fldCharType="separate"/>
    </w:r>
    <w:r>
      <w:rPr>
        <w:noProof/>
        <w:sz w:val="20"/>
        <w:szCs w:val="20"/>
        <w:lang w:val="fr-CA"/>
      </w:rPr>
      <w:t>2</w:t>
    </w:r>
    <w:r>
      <w:rPr>
        <w:noProof/>
        <w:sz w:val="20"/>
        <w:szCs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7047" w14:textId="77777777" w:rsidR="00ED42BE" w:rsidRDefault="00ED42BE">
      <w:r>
        <w:separator/>
      </w:r>
    </w:p>
  </w:footnote>
  <w:footnote w:type="continuationSeparator" w:id="0">
    <w:p w14:paraId="37E4C782" w14:textId="77777777" w:rsidR="00ED42BE" w:rsidRDefault="00ED42BE">
      <w:r>
        <w:continuationSeparator/>
      </w:r>
    </w:p>
  </w:footnote>
  <w:footnote w:id="1">
    <w:p w14:paraId="6D3E4B17" w14:textId="77777777" w:rsidR="001D6A21" w:rsidRPr="001D6A21" w:rsidRDefault="001D6A21">
      <w:pPr>
        <w:pStyle w:val="FootnoteText"/>
      </w:pPr>
      <w:r>
        <w:rPr>
          <w:rStyle w:val="FootnoteReference"/>
          <w:lang w:val="fr-CA"/>
        </w:rPr>
        <w:footnoteRef/>
      </w:r>
      <w:r>
        <w:rPr>
          <w:lang w:val="fr-CA"/>
        </w:rPr>
        <w:t xml:space="preserve"> SAIDI (indice de durée moyenne des interruptions de service touchant le réseau) – </w:t>
      </w:r>
      <w:r>
        <w:rPr>
          <w:color w:val="222222"/>
          <w:shd w:val="clear" w:color="auto" w:fill="FFFFFF"/>
          <w:lang w:val="fr-CA"/>
        </w:rPr>
        <w:t>la durée moyenne de panne pour chaque client desservi (normalement mesuré en minutes ou en heures tout au long de l’année).</w:t>
      </w:r>
    </w:p>
  </w:footnote>
  <w:footnote w:id="2">
    <w:p w14:paraId="09D3AEDD" w14:textId="77777777" w:rsidR="001D6A21" w:rsidRPr="001D6A21" w:rsidRDefault="001D6A21">
      <w:pPr>
        <w:pStyle w:val="FootnoteText"/>
      </w:pPr>
      <w:r>
        <w:rPr>
          <w:rStyle w:val="FootnoteReference"/>
          <w:lang w:val="fr-CA"/>
        </w:rPr>
        <w:footnoteRef/>
      </w:r>
      <w:r>
        <w:rPr>
          <w:lang w:val="fr-CA"/>
        </w:rPr>
        <w:t xml:space="preserve"> SAIFI (indice de fréquence moyenne des interruptions de service touchant le réseau) – le nombre moyen d’interruptions dont un client fait l’expérience (normalement mesurée sous forme d’unités d’interruptions par client tout au long d’une 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14C4" w14:textId="77777777" w:rsidR="00385301" w:rsidRDefault="0038530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03F5" w14:textId="77777777" w:rsidR="00385301" w:rsidRPr="00C517C8" w:rsidRDefault="00385301" w:rsidP="00C517C8">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D1D5" w14:textId="77777777" w:rsidR="00385301" w:rsidRDefault="00385301">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16C" w14:textId="77777777" w:rsidR="00385301" w:rsidRDefault="00385301">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93E" w14:textId="77777777" w:rsidR="00385301" w:rsidRDefault="00882D31">
    <w:pPr>
      <w:pBdr>
        <w:top w:val="nil"/>
        <w:left w:val="nil"/>
        <w:bottom w:val="nil"/>
        <w:right w:val="nil"/>
        <w:between w:val="nil"/>
      </w:pBdr>
      <w:spacing w:line="14" w:lineRule="auto"/>
      <w:rPr>
        <w:color w:val="000000"/>
        <w:sz w:val="20"/>
        <w:szCs w:val="20"/>
      </w:rPr>
    </w:pPr>
    <w:r>
      <w:rPr>
        <w:noProof/>
        <w:lang w:val="fr-CA"/>
      </w:rPr>
      <mc:AlternateContent>
        <mc:Choice Requires="wps">
          <w:drawing>
            <wp:anchor distT="0" distB="0" distL="0" distR="0" simplePos="0" relativeHeight="251657216" behindDoc="0" locked="0" layoutInCell="1" hidden="0" allowOverlap="1" wp14:anchorId="3C4D4A6E" wp14:editId="7C2D345A">
              <wp:simplePos x="0" y="0"/>
              <wp:positionH relativeFrom="column">
                <wp:posOffset>38100</wp:posOffset>
              </wp:positionH>
              <wp:positionV relativeFrom="paragraph">
                <wp:posOffset>622300</wp:posOffset>
              </wp:positionV>
              <wp:extent cx="5980430" cy="12700"/>
              <wp:effectExtent l="0" t="0" r="0" b="0"/>
              <wp:wrapSquare wrapText="bothSides" distT="0" distB="0" distL="0" distR="0"/>
              <wp:docPr id="11" name="Straight Arrow Connector 11"/>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9525" cap="flat" cmpd="sng">
                        <a:solidFill>
                          <a:srgbClr val="DADADA"/>
                        </a:solidFill>
                        <a:prstDash val="solid"/>
                        <a:round/>
                        <a:headEnd type="none" w="med" len="med"/>
                        <a:tailEnd type="none" w="med" len="med"/>
                      </a:ln>
                    </wps:spPr>
                    <wps:bodyPr/>
                  </wps:wsp>
                </a:graphicData>
              </a:graphic>
            </wp:anchor>
          </w:drawing>
        </mc:Choice>
        <mc:Fallback>
          <w:pict>
            <v:shapetype w14:anchorId="3CAE2182" id="_x0000_t32" coordsize="21600,21600" o:spt="32" o:oned="t" path="m,l21600,21600e" filled="f">
              <v:path arrowok="t" fillok="f" o:connecttype="none"/>
              <o:lock v:ext="edit" shapetype="t"/>
            </v:shapetype>
            <v:shape id="Straight Arrow Connector 11" o:spid="_x0000_s1026" type="#_x0000_t32" style="position:absolute;margin-left:3pt;margin-top:49pt;width:470.9pt;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Kw7AEAAMQDAAAOAAAAZHJzL2Uyb0RvYy54bWysU9tu2zAMfR+wfxD0vthJljU14hRFsu5l&#10;2AJ0/QBFkm0BuoFU4+TvRylpusvLUMwGZMokjw4PqdXd0Vl20IAm+JZPJzVn2sugjO9b/vTj4cOS&#10;M0zCK2GD1y0/aeR36/fvVmNs9CwMwSoNjEA8NmNs+ZBSbKoK5aCdwEmI2pOzC+BEoi30lQIxErqz&#10;1ayuP1VjABUhSI1If7dnJ18X/K7TMn3vOtSJ2ZYTt1RWKOs+r9V6JZoeRByMvNAQb2DhhPF06BVq&#10;K5Jgz2D+gnJGQsDQpYkMrgpdZ6QuNVA10/qPah4HEXWphcTBeJUJ/x+s/HbYATOKejflzAtHPXpM&#10;IEw/JHYPEEa2Cd6TjgEYhZBeY8SG0jZ+B5cdxh3k4o8duPylstix5bP5YnGzXHB2avn8ZlnTc9Zb&#10;HxOTFLC4XdYf59QWSRHFV72CRMD0RQfHstFyvJC6spkWvcXhKyaiQYkvCZmBDw/G2tJc69nY8tvF&#10;jIhIQSPWWZHIdJGKRt8XGAzWqJySkxH6/cYCOwgamu19fjNvOuK3sHzeVuBwjiuuc3kQnr0qZw9a&#10;qM9esXSKpKunG8AzGacVZ1bThclWiUzC2H+JJBLWE5fchLPs2doHdSrdKP9pVArby1jnWfx1X7Jf&#10;L9/6JwAAAP//AwBQSwMEFAAGAAgAAAAhAPn1DnbeAAAACAEAAA8AAABkcnMvZG93bnJldi54bWxM&#10;j8FOwzAQRO9I/IO1SFwQtamqkqZxKoTgwIWK0A9w4m2SNl5HsZukf89ygtNqNKPZedludp0YcQit&#10;Jw1PCwUCqfK2pVrD4fv9MQERoiFrOk+o4YoBdvntTWZS6yf6wrGIteASCqnR0MTYp1KGqkFnwsL3&#10;SOwd/eBMZDnU0g5m4nLXyaVSa+lMS/yhMT2+Nlidi4vTMCYrsyw/9+eH4jqdTtWb2n/Yg9b3d/PL&#10;FkTEOf6F4Xc+T4ecN5X+QjaITsOaSaKGTcKX7c3qmUlKzimlQOaZ/A+Q/wAAAP//AwBQSwECLQAU&#10;AAYACAAAACEAtoM4kv4AAADhAQAAEwAAAAAAAAAAAAAAAAAAAAAAW0NvbnRlbnRfVHlwZXNdLnht&#10;bFBLAQItABQABgAIAAAAIQA4/SH/1gAAAJQBAAALAAAAAAAAAAAAAAAAAC8BAABfcmVscy8ucmVs&#10;c1BLAQItABQABgAIAAAAIQAsr8Kw7AEAAMQDAAAOAAAAAAAAAAAAAAAAAC4CAABkcnMvZTJvRG9j&#10;LnhtbFBLAQItABQABgAIAAAAIQD59Q523gAAAAgBAAAPAAAAAAAAAAAAAAAAAEYEAABkcnMvZG93&#10;bnJldi54bWxQSwUGAAAAAAQABADzAAAAUQUAAAAA&#10;" strokecolor="#dadada">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3C97" w14:textId="77777777" w:rsidR="00385301" w:rsidRPr="00E17F18" w:rsidRDefault="00385301" w:rsidP="00E17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43E"/>
    <w:multiLevelType w:val="multilevel"/>
    <w:tmpl w:val="B1300A8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44759EB"/>
    <w:multiLevelType w:val="multilevel"/>
    <w:tmpl w:val="A55EB306"/>
    <w:lvl w:ilvl="0">
      <w:start w:val="18"/>
      <w:numFmt w:val="decimal"/>
      <w:lvlText w:val="%1"/>
      <w:lvlJc w:val="left"/>
      <w:pPr>
        <w:ind w:left="1364" w:hanging="480"/>
      </w:pPr>
    </w:lvl>
    <w:lvl w:ilvl="1">
      <w:start w:val="1"/>
      <w:numFmt w:val="decimal"/>
      <w:lvlText w:val="%1.%2"/>
      <w:lvlJc w:val="left"/>
      <w:pPr>
        <w:ind w:left="1364" w:hanging="480"/>
      </w:pPr>
      <w:rPr>
        <w:rFonts w:ascii="Times New Roman" w:eastAsia="Times New Roman" w:hAnsi="Times New Roman" w:cs="Times New Roman"/>
        <w:sz w:val="24"/>
        <w:szCs w:val="24"/>
      </w:rPr>
    </w:lvl>
    <w:lvl w:ilvl="2">
      <w:start w:val="1"/>
      <w:numFmt w:val="decimal"/>
      <w:lvlText w:val="(%3)"/>
      <w:lvlJc w:val="left"/>
      <w:pPr>
        <w:ind w:left="1540" w:hanging="353"/>
      </w:pPr>
      <w:rPr>
        <w:rFonts w:ascii="Times New Roman" w:eastAsia="Times New Roman" w:hAnsi="Times New Roman" w:cs="Times New Roman"/>
        <w:sz w:val="24"/>
        <w:szCs w:val="24"/>
      </w:rPr>
    </w:lvl>
    <w:lvl w:ilvl="3">
      <w:start w:val="1"/>
      <w:numFmt w:val="bullet"/>
      <w:lvlText w:val="•"/>
      <w:lvlJc w:val="left"/>
      <w:pPr>
        <w:ind w:left="3326" w:hanging="353"/>
      </w:pPr>
    </w:lvl>
    <w:lvl w:ilvl="4">
      <w:start w:val="1"/>
      <w:numFmt w:val="bullet"/>
      <w:lvlText w:val="•"/>
      <w:lvlJc w:val="left"/>
      <w:pPr>
        <w:ind w:left="4220" w:hanging="353"/>
      </w:pPr>
    </w:lvl>
    <w:lvl w:ilvl="5">
      <w:start w:val="1"/>
      <w:numFmt w:val="bullet"/>
      <w:lvlText w:val="•"/>
      <w:lvlJc w:val="left"/>
      <w:pPr>
        <w:ind w:left="5113" w:hanging="353"/>
      </w:pPr>
    </w:lvl>
    <w:lvl w:ilvl="6">
      <w:start w:val="1"/>
      <w:numFmt w:val="bullet"/>
      <w:lvlText w:val="•"/>
      <w:lvlJc w:val="left"/>
      <w:pPr>
        <w:ind w:left="6006" w:hanging="352"/>
      </w:pPr>
    </w:lvl>
    <w:lvl w:ilvl="7">
      <w:start w:val="1"/>
      <w:numFmt w:val="bullet"/>
      <w:lvlText w:val="•"/>
      <w:lvlJc w:val="left"/>
      <w:pPr>
        <w:ind w:left="6900" w:hanging="353"/>
      </w:pPr>
    </w:lvl>
    <w:lvl w:ilvl="8">
      <w:start w:val="1"/>
      <w:numFmt w:val="bullet"/>
      <w:lvlText w:val="•"/>
      <w:lvlJc w:val="left"/>
      <w:pPr>
        <w:ind w:left="7793" w:hanging="353"/>
      </w:pPr>
    </w:lvl>
  </w:abstractNum>
  <w:abstractNum w:abstractNumId="2" w15:restartNumberingAfterBreak="0">
    <w:nsid w:val="0A03333A"/>
    <w:multiLevelType w:val="multilevel"/>
    <w:tmpl w:val="12FA4EB8"/>
    <w:numStyleLink w:val="URRCList"/>
  </w:abstractNum>
  <w:abstractNum w:abstractNumId="3" w15:restartNumberingAfterBreak="0">
    <w:nsid w:val="22572817"/>
    <w:multiLevelType w:val="multilevel"/>
    <w:tmpl w:val="12FA4EB8"/>
    <w:styleLink w:val="URRCList"/>
    <w:lvl w:ilvl="0">
      <w:start w:val="1"/>
      <w:numFmt w:val="decimal"/>
      <w:pStyle w:val="URRCHeading1"/>
      <w:lvlText w:val="%1.0"/>
      <w:lvlJc w:val="left"/>
      <w:pPr>
        <w:ind w:left="936" w:hanging="936"/>
      </w:pPr>
      <w:rPr>
        <w:rFonts w:ascii="Times New Roman Bold" w:hAnsi="Times New Roman Bold" w:hint="default"/>
        <w:b/>
        <w:i w:val="0"/>
        <w:sz w:val="24"/>
      </w:rPr>
    </w:lvl>
    <w:lvl w:ilvl="1">
      <w:start w:val="1"/>
      <w:numFmt w:val="decimal"/>
      <w:pStyle w:val="URRCHeading2"/>
      <w:lvlText w:val="%1.%2"/>
      <w:lvlJc w:val="left"/>
      <w:pPr>
        <w:ind w:left="936" w:hanging="936"/>
      </w:pPr>
      <w:rPr>
        <w:rFonts w:ascii="Times New Roman Bold" w:hAnsi="Times New Roman Bold"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AD1542"/>
    <w:multiLevelType w:val="multilevel"/>
    <w:tmpl w:val="12FA4EB8"/>
    <w:numStyleLink w:val="URRCList"/>
  </w:abstractNum>
  <w:abstractNum w:abstractNumId="5" w15:restartNumberingAfterBreak="0">
    <w:nsid w:val="3ACE2588"/>
    <w:multiLevelType w:val="multilevel"/>
    <w:tmpl w:val="F92E2164"/>
    <w:lvl w:ilvl="0">
      <w:start w:val="1"/>
      <w:numFmt w:val="bullet"/>
      <w:lvlText w:val="●"/>
      <w:lvlJc w:val="left"/>
      <w:pPr>
        <w:ind w:left="1180" w:hanging="360"/>
      </w:pPr>
      <w:rPr>
        <w:rFonts w:ascii="Times New Roman" w:eastAsia="Times New Roman" w:hAnsi="Times New Roman" w:cs="Times New Roman"/>
        <w:sz w:val="24"/>
        <w:szCs w:val="24"/>
      </w:rPr>
    </w:lvl>
    <w:lvl w:ilvl="1">
      <w:start w:val="1"/>
      <w:numFmt w:val="bullet"/>
      <w:lvlText w:val="•"/>
      <w:lvlJc w:val="left"/>
      <w:pPr>
        <w:ind w:left="2020" w:hanging="360"/>
      </w:pPr>
    </w:lvl>
    <w:lvl w:ilvl="2">
      <w:start w:val="1"/>
      <w:numFmt w:val="bullet"/>
      <w:lvlText w:val="•"/>
      <w:lvlJc w:val="left"/>
      <w:pPr>
        <w:ind w:left="2860" w:hanging="360"/>
      </w:pPr>
    </w:lvl>
    <w:lvl w:ilvl="3">
      <w:start w:val="1"/>
      <w:numFmt w:val="bullet"/>
      <w:lvlText w:val="•"/>
      <w:lvlJc w:val="left"/>
      <w:pPr>
        <w:ind w:left="3700" w:hanging="360"/>
      </w:pPr>
    </w:lvl>
    <w:lvl w:ilvl="4">
      <w:start w:val="1"/>
      <w:numFmt w:val="bullet"/>
      <w:lvlText w:val="•"/>
      <w:lvlJc w:val="left"/>
      <w:pPr>
        <w:ind w:left="4540" w:hanging="360"/>
      </w:pPr>
    </w:lvl>
    <w:lvl w:ilvl="5">
      <w:start w:val="1"/>
      <w:numFmt w:val="bullet"/>
      <w:lvlText w:val="•"/>
      <w:lvlJc w:val="left"/>
      <w:pPr>
        <w:ind w:left="5380" w:hanging="360"/>
      </w:pPr>
    </w:lvl>
    <w:lvl w:ilvl="6">
      <w:start w:val="1"/>
      <w:numFmt w:val="bullet"/>
      <w:lvlText w:val="•"/>
      <w:lvlJc w:val="left"/>
      <w:pPr>
        <w:ind w:left="6220" w:hanging="360"/>
      </w:pPr>
    </w:lvl>
    <w:lvl w:ilvl="7">
      <w:start w:val="1"/>
      <w:numFmt w:val="bullet"/>
      <w:lvlText w:val="•"/>
      <w:lvlJc w:val="left"/>
      <w:pPr>
        <w:ind w:left="7060" w:hanging="360"/>
      </w:pPr>
    </w:lvl>
    <w:lvl w:ilvl="8">
      <w:start w:val="1"/>
      <w:numFmt w:val="bullet"/>
      <w:lvlText w:val="•"/>
      <w:lvlJc w:val="left"/>
      <w:pPr>
        <w:ind w:left="7900" w:hanging="360"/>
      </w:pPr>
    </w:lvl>
  </w:abstractNum>
  <w:abstractNum w:abstractNumId="6" w15:restartNumberingAfterBreak="0">
    <w:nsid w:val="3F4C054E"/>
    <w:multiLevelType w:val="multilevel"/>
    <w:tmpl w:val="0DB09182"/>
    <w:lvl w:ilvl="0">
      <w:start w:val="3"/>
      <w:numFmt w:val="decimal"/>
      <w:lvlText w:val="%1"/>
      <w:lvlJc w:val="left"/>
      <w:pPr>
        <w:ind w:left="819" w:hanging="720"/>
      </w:pPr>
    </w:lvl>
    <w:lvl w:ilv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7" w15:restartNumberingAfterBreak="0">
    <w:nsid w:val="415F1837"/>
    <w:multiLevelType w:val="multilevel"/>
    <w:tmpl w:val="7318D106"/>
    <w:lvl w:ilvl="0">
      <w:start w:val="4"/>
      <w:numFmt w:val="decimal"/>
      <w:lvlText w:val="%1"/>
      <w:lvlJc w:val="left"/>
      <w:pPr>
        <w:ind w:left="819" w:hanging="720"/>
      </w:pPr>
    </w:lvl>
    <w:lvl w:ilv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8" w15:restartNumberingAfterBreak="0">
    <w:nsid w:val="48AB1A86"/>
    <w:multiLevelType w:val="multilevel"/>
    <w:tmpl w:val="56BE0FAE"/>
    <w:lvl w:ilvl="0">
      <w:start w:val="1"/>
      <w:numFmt w:val="lowerLetter"/>
      <w:lvlText w:val="(%1)"/>
      <w:lvlJc w:val="left"/>
      <w:pPr>
        <w:ind w:left="1540" w:hanging="327"/>
      </w:pPr>
      <w:rPr>
        <w:rFonts w:ascii="Times New Roman" w:eastAsia="Times New Roman" w:hAnsi="Times New Roman" w:cs="Times New Roman"/>
        <w:sz w:val="24"/>
        <w:szCs w:val="24"/>
      </w:rPr>
    </w:lvl>
    <w:lvl w:ilvl="1">
      <w:start w:val="1"/>
      <w:numFmt w:val="bullet"/>
      <w:lvlText w:val="•"/>
      <w:lvlJc w:val="left"/>
      <w:pPr>
        <w:ind w:left="2344" w:hanging="327"/>
      </w:pPr>
    </w:lvl>
    <w:lvl w:ilvl="2">
      <w:start w:val="1"/>
      <w:numFmt w:val="bullet"/>
      <w:lvlText w:val="•"/>
      <w:lvlJc w:val="left"/>
      <w:pPr>
        <w:ind w:left="3148" w:hanging="327"/>
      </w:pPr>
    </w:lvl>
    <w:lvl w:ilvl="3">
      <w:start w:val="1"/>
      <w:numFmt w:val="bullet"/>
      <w:lvlText w:val="•"/>
      <w:lvlJc w:val="left"/>
      <w:pPr>
        <w:ind w:left="3952" w:hanging="327"/>
      </w:pPr>
    </w:lvl>
    <w:lvl w:ilvl="4">
      <w:start w:val="1"/>
      <w:numFmt w:val="bullet"/>
      <w:lvlText w:val="•"/>
      <w:lvlJc w:val="left"/>
      <w:pPr>
        <w:ind w:left="4756" w:hanging="327"/>
      </w:pPr>
    </w:lvl>
    <w:lvl w:ilvl="5">
      <w:start w:val="1"/>
      <w:numFmt w:val="bullet"/>
      <w:lvlText w:val="•"/>
      <w:lvlJc w:val="left"/>
      <w:pPr>
        <w:ind w:left="5560" w:hanging="327"/>
      </w:pPr>
    </w:lvl>
    <w:lvl w:ilvl="6">
      <w:start w:val="1"/>
      <w:numFmt w:val="bullet"/>
      <w:lvlText w:val="•"/>
      <w:lvlJc w:val="left"/>
      <w:pPr>
        <w:ind w:left="6364" w:hanging="327"/>
      </w:pPr>
    </w:lvl>
    <w:lvl w:ilvl="7">
      <w:start w:val="1"/>
      <w:numFmt w:val="bullet"/>
      <w:lvlText w:val="•"/>
      <w:lvlJc w:val="left"/>
      <w:pPr>
        <w:ind w:left="7168" w:hanging="327"/>
      </w:pPr>
    </w:lvl>
    <w:lvl w:ilvl="8">
      <w:start w:val="1"/>
      <w:numFmt w:val="bullet"/>
      <w:lvlText w:val="•"/>
      <w:lvlJc w:val="left"/>
      <w:pPr>
        <w:ind w:left="7972" w:hanging="327"/>
      </w:pPr>
    </w:lvl>
  </w:abstractNum>
  <w:abstractNum w:abstractNumId="9" w15:restartNumberingAfterBreak="0">
    <w:nsid w:val="52F67FB6"/>
    <w:multiLevelType w:val="multilevel"/>
    <w:tmpl w:val="8EE8C962"/>
    <w:lvl w:ilvl="0">
      <w:start w:val="5"/>
      <w:numFmt w:val="decimal"/>
      <w:lvlText w:val="%1.0"/>
      <w:lvlJc w:val="left"/>
      <w:pPr>
        <w:ind w:left="4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300" w:hanging="1440"/>
      </w:pPr>
      <w:rPr>
        <w:rFonts w:hint="default"/>
      </w:rPr>
    </w:lvl>
  </w:abstractNum>
  <w:abstractNum w:abstractNumId="10" w15:restartNumberingAfterBreak="0">
    <w:nsid w:val="53D443C1"/>
    <w:multiLevelType w:val="multilevel"/>
    <w:tmpl w:val="B1300A8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62C734D6"/>
    <w:multiLevelType w:val="multilevel"/>
    <w:tmpl w:val="12FA4EB8"/>
    <w:numStyleLink w:val="URRCList"/>
  </w:abstractNum>
  <w:abstractNum w:abstractNumId="12" w15:restartNumberingAfterBreak="0">
    <w:nsid w:val="64E025B3"/>
    <w:multiLevelType w:val="multilevel"/>
    <w:tmpl w:val="12FA4EB8"/>
    <w:numStyleLink w:val="URRCList"/>
  </w:abstractNum>
  <w:abstractNum w:abstractNumId="13" w15:restartNumberingAfterBreak="0">
    <w:nsid w:val="6EC00D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B54360"/>
    <w:multiLevelType w:val="multilevel"/>
    <w:tmpl w:val="EAA2F992"/>
    <w:lvl w:ilvl="0">
      <w:start w:val="1"/>
      <w:numFmt w:val="decimal"/>
      <w:lvlText w:val="%1"/>
      <w:lvlJc w:val="left"/>
      <w:pPr>
        <w:ind w:left="819" w:hanging="720"/>
      </w:pPr>
    </w:lvl>
    <w:lvl w:ilvl="1">
      <w:start w:val="1"/>
      <w:numFmt w:val="decimal"/>
      <w:lvlText w:val="%1.%2"/>
      <w:lvlJc w:val="left"/>
      <w:pPr>
        <w:ind w:left="819" w:hanging="720"/>
      </w:pPr>
      <w:rPr>
        <w:rFonts w:ascii="Times New Roman" w:eastAsia="Times New Roman" w:hAnsi="Times New Roman" w:cs="Times New Roman"/>
        <w:b/>
        <w:sz w:val="28"/>
        <w:szCs w:val="28"/>
      </w:rPr>
    </w:lvl>
    <w:lvl w:ilvl="2">
      <w:start w:val="1"/>
      <w:numFmt w:val="decimal"/>
      <w:lvlText w:val="%3."/>
      <w:lvlJc w:val="left"/>
      <w:pPr>
        <w:ind w:left="884" w:hanging="360"/>
      </w:pPr>
      <w:rPr>
        <w:rFonts w:ascii="Times New Roman" w:eastAsia="Times New Roman" w:hAnsi="Times New Roman" w:cs="Times New Roman"/>
        <w:sz w:val="24"/>
        <w:szCs w:val="24"/>
      </w:rPr>
    </w:lvl>
    <w:lvl w:ilvl="3">
      <w:start w:val="1"/>
      <w:numFmt w:val="lowerLetter"/>
      <w:lvlText w:val="%4."/>
      <w:lvlJc w:val="left"/>
      <w:pPr>
        <w:ind w:left="1540" w:hanging="276"/>
      </w:pPr>
      <w:rPr>
        <w:rFonts w:ascii="Times New Roman" w:eastAsia="Times New Roman" w:hAnsi="Times New Roman" w:cs="Times New Roman"/>
        <w:sz w:val="24"/>
        <w:szCs w:val="24"/>
      </w:rPr>
    </w:lvl>
    <w:lvl w:ilvl="4">
      <w:start w:val="1"/>
      <w:numFmt w:val="bullet"/>
      <w:lvlText w:val="•"/>
      <w:lvlJc w:val="left"/>
      <w:pPr>
        <w:ind w:left="3550" w:hanging="276"/>
      </w:pPr>
    </w:lvl>
    <w:lvl w:ilvl="5">
      <w:start w:val="1"/>
      <w:numFmt w:val="bullet"/>
      <w:lvlText w:val="•"/>
      <w:lvlJc w:val="left"/>
      <w:pPr>
        <w:ind w:left="4555" w:hanging="276"/>
      </w:pPr>
    </w:lvl>
    <w:lvl w:ilvl="6">
      <w:start w:val="1"/>
      <w:numFmt w:val="bullet"/>
      <w:lvlText w:val="•"/>
      <w:lvlJc w:val="left"/>
      <w:pPr>
        <w:ind w:left="5560" w:hanging="276"/>
      </w:pPr>
    </w:lvl>
    <w:lvl w:ilvl="7">
      <w:start w:val="1"/>
      <w:numFmt w:val="bullet"/>
      <w:lvlText w:val="•"/>
      <w:lvlJc w:val="left"/>
      <w:pPr>
        <w:ind w:left="6565" w:hanging="276"/>
      </w:pPr>
    </w:lvl>
    <w:lvl w:ilvl="8">
      <w:start w:val="1"/>
      <w:numFmt w:val="bullet"/>
      <w:lvlText w:val="•"/>
      <w:lvlJc w:val="left"/>
      <w:pPr>
        <w:ind w:left="7570" w:hanging="276"/>
      </w:pPr>
    </w:lvl>
  </w:abstractNum>
  <w:abstractNum w:abstractNumId="15" w15:restartNumberingAfterBreak="0">
    <w:nsid w:val="7B8B4EF3"/>
    <w:multiLevelType w:val="multilevel"/>
    <w:tmpl w:val="1C7E4E8A"/>
    <w:lvl w:ilvl="0">
      <w:start w:val="1"/>
      <w:numFmt w:val="bullet"/>
      <w:lvlText w:val="●"/>
      <w:lvlJc w:val="left"/>
      <w:pPr>
        <w:ind w:left="1540" w:hanging="360"/>
      </w:pPr>
      <w:rPr>
        <w:rFonts w:ascii="Times New Roman" w:eastAsia="Times New Roman" w:hAnsi="Times New Roman" w:cs="Times New Roman"/>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abstractNum w:abstractNumId="16" w15:restartNumberingAfterBreak="0">
    <w:nsid w:val="7BD161E8"/>
    <w:multiLevelType w:val="multilevel"/>
    <w:tmpl w:val="78140F9E"/>
    <w:lvl w:ilvl="0">
      <w:start w:val="4"/>
      <w:numFmt w:val="decimal"/>
      <w:lvlText w:val="%1"/>
      <w:lvlJc w:val="left"/>
      <w:pPr>
        <w:ind w:left="760" w:hanging="660"/>
      </w:pPr>
    </w:lvl>
    <w:lvl w:ilvl="1">
      <w:numFmt w:val="decimal"/>
      <w:lvlText w:val="%1.%2"/>
      <w:lvlJc w:val="left"/>
      <w:pPr>
        <w:ind w:left="760" w:hanging="660"/>
      </w:pPr>
      <w:rPr>
        <w:rFonts w:ascii="Times New Roman" w:eastAsia="Times New Roman" w:hAnsi="Times New Roman" w:cs="Times New Roman"/>
        <w:sz w:val="24"/>
        <w:szCs w:val="24"/>
      </w:rPr>
    </w:lvl>
    <w:lvl w:ilvl="2">
      <w:start w:val="1"/>
      <w:numFmt w:val="bullet"/>
      <w:lvlText w:val="•"/>
      <w:lvlJc w:val="left"/>
      <w:pPr>
        <w:ind w:left="2524" w:hanging="660"/>
      </w:pPr>
    </w:lvl>
    <w:lvl w:ilvl="3">
      <w:start w:val="1"/>
      <w:numFmt w:val="bullet"/>
      <w:lvlText w:val="•"/>
      <w:lvlJc w:val="left"/>
      <w:pPr>
        <w:ind w:left="3406" w:hanging="660"/>
      </w:pPr>
    </w:lvl>
    <w:lvl w:ilvl="4">
      <w:start w:val="1"/>
      <w:numFmt w:val="bullet"/>
      <w:lvlText w:val="•"/>
      <w:lvlJc w:val="left"/>
      <w:pPr>
        <w:ind w:left="4288" w:hanging="660"/>
      </w:pPr>
    </w:lvl>
    <w:lvl w:ilvl="5">
      <w:start w:val="1"/>
      <w:numFmt w:val="bullet"/>
      <w:lvlText w:val="•"/>
      <w:lvlJc w:val="left"/>
      <w:pPr>
        <w:ind w:left="5170" w:hanging="660"/>
      </w:pPr>
    </w:lvl>
    <w:lvl w:ilvl="6">
      <w:start w:val="1"/>
      <w:numFmt w:val="bullet"/>
      <w:lvlText w:val="•"/>
      <w:lvlJc w:val="left"/>
      <w:pPr>
        <w:ind w:left="6052" w:hanging="660"/>
      </w:pPr>
    </w:lvl>
    <w:lvl w:ilvl="7">
      <w:start w:val="1"/>
      <w:numFmt w:val="bullet"/>
      <w:lvlText w:val="•"/>
      <w:lvlJc w:val="left"/>
      <w:pPr>
        <w:ind w:left="6934" w:hanging="660"/>
      </w:pPr>
    </w:lvl>
    <w:lvl w:ilvl="8">
      <w:start w:val="1"/>
      <w:numFmt w:val="bullet"/>
      <w:lvlText w:val="•"/>
      <w:lvlJc w:val="left"/>
      <w:pPr>
        <w:ind w:left="7816" w:hanging="660"/>
      </w:pPr>
    </w:lvl>
  </w:abstractNum>
  <w:abstractNum w:abstractNumId="17" w15:restartNumberingAfterBreak="0">
    <w:nsid w:val="7DF44D75"/>
    <w:multiLevelType w:val="multilevel"/>
    <w:tmpl w:val="8286CB8A"/>
    <w:lvl w:ilvl="0">
      <w:start w:val="3"/>
      <w:numFmt w:val="decimal"/>
      <w:lvlText w:val="%1"/>
      <w:lvlJc w:val="left"/>
      <w:pPr>
        <w:ind w:left="760" w:hanging="660"/>
      </w:pPr>
    </w:lvl>
    <w:lvl w:ilvl="1">
      <w:start w:val="1"/>
      <w:numFmt w:val="decimal"/>
      <w:lvlText w:val="%1.%2"/>
      <w:lvlJc w:val="left"/>
      <w:pPr>
        <w:ind w:left="760" w:hanging="660"/>
      </w:pPr>
      <w:rPr>
        <w:rFonts w:ascii="Times New Roman" w:eastAsia="Times New Roman" w:hAnsi="Times New Roman" w:cs="Times New Roman"/>
        <w:sz w:val="24"/>
        <w:szCs w:val="24"/>
      </w:rPr>
    </w:lvl>
    <w:lvl w:ilvl="2">
      <w:start w:val="1"/>
      <w:numFmt w:val="bullet"/>
      <w:lvlText w:val="•"/>
      <w:lvlJc w:val="left"/>
      <w:pPr>
        <w:ind w:left="2524" w:hanging="660"/>
      </w:pPr>
    </w:lvl>
    <w:lvl w:ilvl="3">
      <w:start w:val="1"/>
      <w:numFmt w:val="bullet"/>
      <w:lvlText w:val="•"/>
      <w:lvlJc w:val="left"/>
      <w:pPr>
        <w:ind w:left="3406" w:hanging="660"/>
      </w:pPr>
    </w:lvl>
    <w:lvl w:ilvl="4">
      <w:start w:val="1"/>
      <w:numFmt w:val="bullet"/>
      <w:lvlText w:val="•"/>
      <w:lvlJc w:val="left"/>
      <w:pPr>
        <w:ind w:left="4288" w:hanging="660"/>
      </w:pPr>
    </w:lvl>
    <w:lvl w:ilvl="5">
      <w:start w:val="1"/>
      <w:numFmt w:val="bullet"/>
      <w:lvlText w:val="•"/>
      <w:lvlJc w:val="left"/>
      <w:pPr>
        <w:ind w:left="5170" w:hanging="660"/>
      </w:pPr>
    </w:lvl>
    <w:lvl w:ilvl="6">
      <w:start w:val="1"/>
      <w:numFmt w:val="bullet"/>
      <w:lvlText w:val="•"/>
      <w:lvlJc w:val="left"/>
      <w:pPr>
        <w:ind w:left="6052" w:hanging="660"/>
      </w:pPr>
    </w:lvl>
    <w:lvl w:ilvl="7">
      <w:start w:val="1"/>
      <w:numFmt w:val="bullet"/>
      <w:lvlText w:val="•"/>
      <w:lvlJc w:val="left"/>
      <w:pPr>
        <w:ind w:left="6934" w:hanging="660"/>
      </w:pPr>
    </w:lvl>
    <w:lvl w:ilvl="8">
      <w:start w:val="1"/>
      <w:numFmt w:val="bullet"/>
      <w:lvlText w:val="•"/>
      <w:lvlJc w:val="left"/>
      <w:pPr>
        <w:ind w:left="7816" w:hanging="660"/>
      </w:pPr>
    </w:lvl>
  </w:abstractNum>
  <w:abstractNum w:abstractNumId="18" w15:restartNumberingAfterBreak="0">
    <w:nsid w:val="7FE968B1"/>
    <w:multiLevelType w:val="hybridMultilevel"/>
    <w:tmpl w:val="5316F5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num>
  <w:num w:numId="3">
    <w:abstractNumId w:val="6"/>
  </w:num>
  <w:num w:numId="4">
    <w:abstractNumId w:val="14"/>
  </w:num>
  <w:num w:numId="5">
    <w:abstractNumId w:val="16"/>
  </w:num>
  <w:num w:numId="6">
    <w:abstractNumId w:val="8"/>
  </w:num>
  <w:num w:numId="7">
    <w:abstractNumId w:val="17"/>
  </w:num>
  <w:num w:numId="8">
    <w:abstractNumId w:val="15"/>
  </w:num>
  <w:num w:numId="9">
    <w:abstractNumId w:val="5"/>
  </w:num>
  <w:num w:numId="10">
    <w:abstractNumId w:val="9"/>
  </w:num>
  <w:num w:numId="11">
    <w:abstractNumId w:val="0"/>
  </w:num>
  <w:num w:numId="12">
    <w:abstractNumId w:val="10"/>
  </w:num>
  <w:num w:numId="13">
    <w:abstractNumId w:val="18"/>
  </w:num>
  <w:num w:numId="14">
    <w:abstractNumId w:val="1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01"/>
    <w:rsid w:val="00004F1B"/>
    <w:rsid w:val="00081EEB"/>
    <w:rsid w:val="000C5C15"/>
    <w:rsid w:val="000D129C"/>
    <w:rsid w:val="00142AB5"/>
    <w:rsid w:val="001660D8"/>
    <w:rsid w:val="001A07EA"/>
    <w:rsid w:val="001B5088"/>
    <w:rsid w:val="001D6A21"/>
    <w:rsid w:val="001F6CD5"/>
    <w:rsid w:val="0020707A"/>
    <w:rsid w:val="00240FED"/>
    <w:rsid w:val="002A68A6"/>
    <w:rsid w:val="002B17F5"/>
    <w:rsid w:val="00301D5D"/>
    <w:rsid w:val="003040BC"/>
    <w:rsid w:val="00334913"/>
    <w:rsid w:val="00335811"/>
    <w:rsid w:val="0034669E"/>
    <w:rsid w:val="00385301"/>
    <w:rsid w:val="003D108D"/>
    <w:rsid w:val="003D787F"/>
    <w:rsid w:val="004033EA"/>
    <w:rsid w:val="00406104"/>
    <w:rsid w:val="0044350B"/>
    <w:rsid w:val="00462ADB"/>
    <w:rsid w:val="004766F1"/>
    <w:rsid w:val="004902F1"/>
    <w:rsid w:val="004A1BF6"/>
    <w:rsid w:val="004C5B8B"/>
    <w:rsid w:val="00506131"/>
    <w:rsid w:val="00536DDB"/>
    <w:rsid w:val="005511BF"/>
    <w:rsid w:val="00561FDB"/>
    <w:rsid w:val="00572686"/>
    <w:rsid w:val="00582E24"/>
    <w:rsid w:val="00595624"/>
    <w:rsid w:val="00596415"/>
    <w:rsid w:val="005B730D"/>
    <w:rsid w:val="005C68B5"/>
    <w:rsid w:val="005C77D7"/>
    <w:rsid w:val="005F16D3"/>
    <w:rsid w:val="00605825"/>
    <w:rsid w:val="0063310F"/>
    <w:rsid w:val="0065177E"/>
    <w:rsid w:val="006530D5"/>
    <w:rsid w:val="00665651"/>
    <w:rsid w:val="00670D2B"/>
    <w:rsid w:val="0067122A"/>
    <w:rsid w:val="006A12F4"/>
    <w:rsid w:val="006A35EA"/>
    <w:rsid w:val="006B7845"/>
    <w:rsid w:val="006D53B2"/>
    <w:rsid w:val="00710326"/>
    <w:rsid w:val="007C5D23"/>
    <w:rsid w:val="007C7129"/>
    <w:rsid w:val="007E20F4"/>
    <w:rsid w:val="007F6C2E"/>
    <w:rsid w:val="00822F2D"/>
    <w:rsid w:val="0084378C"/>
    <w:rsid w:val="008461A1"/>
    <w:rsid w:val="00882D31"/>
    <w:rsid w:val="00893598"/>
    <w:rsid w:val="008A0B09"/>
    <w:rsid w:val="008C0D9F"/>
    <w:rsid w:val="009468E8"/>
    <w:rsid w:val="00954B7B"/>
    <w:rsid w:val="009565CC"/>
    <w:rsid w:val="00957347"/>
    <w:rsid w:val="00963039"/>
    <w:rsid w:val="00972E9B"/>
    <w:rsid w:val="009854E0"/>
    <w:rsid w:val="00995DCC"/>
    <w:rsid w:val="00997FCB"/>
    <w:rsid w:val="009E6799"/>
    <w:rsid w:val="009F2D44"/>
    <w:rsid w:val="00A17159"/>
    <w:rsid w:val="00A76459"/>
    <w:rsid w:val="00A800C6"/>
    <w:rsid w:val="00AB1915"/>
    <w:rsid w:val="00AD1970"/>
    <w:rsid w:val="00B03F1C"/>
    <w:rsid w:val="00B86DFC"/>
    <w:rsid w:val="00BB7BB7"/>
    <w:rsid w:val="00BC6BD4"/>
    <w:rsid w:val="00BC75FD"/>
    <w:rsid w:val="00C11494"/>
    <w:rsid w:val="00C374FA"/>
    <w:rsid w:val="00C517C8"/>
    <w:rsid w:val="00C51A25"/>
    <w:rsid w:val="00C55B72"/>
    <w:rsid w:val="00C63E4F"/>
    <w:rsid w:val="00C742C8"/>
    <w:rsid w:val="00C815E6"/>
    <w:rsid w:val="00CE4806"/>
    <w:rsid w:val="00CF53C5"/>
    <w:rsid w:val="00D17AF5"/>
    <w:rsid w:val="00D27A13"/>
    <w:rsid w:val="00D31364"/>
    <w:rsid w:val="00D92EF0"/>
    <w:rsid w:val="00DD3151"/>
    <w:rsid w:val="00DE07DB"/>
    <w:rsid w:val="00DF79E0"/>
    <w:rsid w:val="00E17F18"/>
    <w:rsid w:val="00E528CC"/>
    <w:rsid w:val="00E67E07"/>
    <w:rsid w:val="00ED42BE"/>
    <w:rsid w:val="00F24A93"/>
    <w:rsid w:val="00F33F4A"/>
    <w:rsid w:val="00F439A3"/>
    <w:rsid w:val="00F736F1"/>
    <w:rsid w:val="00F9315B"/>
    <w:rsid w:val="00FB09D0"/>
    <w:rsid w:val="00FD5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6F8DFB"/>
  <w15:docId w15:val="{5114F232-B628-473A-9390-B25FCCBC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4" w:hanging="360"/>
      <w:jc w:val="both"/>
    </w:pPr>
  </w:style>
  <w:style w:type="paragraph" w:customStyle="1" w:styleId="TableParagraph">
    <w:name w:val="Table Paragraph"/>
    <w:basedOn w:val="Normal"/>
    <w:uiPriority w:val="1"/>
    <w:qFormat/>
    <w:pPr>
      <w:spacing w:before="63"/>
      <w:ind w:left="50"/>
    </w:pPr>
  </w:style>
  <w:style w:type="paragraph" w:styleId="BalloonText">
    <w:name w:val="Balloon Text"/>
    <w:basedOn w:val="Normal"/>
    <w:link w:val="BalloonTextChar"/>
    <w:uiPriority w:val="99"/>
    <w:semiHidden/>
    <w:unhideWhenUsed/>
    <w:rsid w:val="004D15E6"/>
    <w:rPr>
      <w:rFonts w:ascii="Tahoma" w:hAnsi="Tahoma" w:cs="Tahoma"/>
      <w:sz w:val="16"/>
      <w:szCs w:val="16"/>
    </w:rPr>
  </w:style>
  <w:style w:type="character" w:customStyle="1" w:styleId="BalloonTextChar">
    <w:name w:val="Balloon Text Char"/>
    <w:basedOn w:val="DefaultParagraphFont"/>
    <w:link w:val="BalloonText"/>
    <w:uiPriority w:val="99"/>
    <w:semiHidden/>
    <w:rsid w:val="004D15E6"/>
    <w:rPr>
      <w:rFonts w:ascii="Tahoma" w:eastAsia="Times New Roman" w:hAnsi="Tahoma" w:cs="Tahoma"/>
      <w:sz w:val="16"/>
      <w:szCs w:val="16"/>
    </w:rPr>
  </w:style>
  <w:style w:type="paragraph" w:styleId="Header">
    <w:name w:val="header"/>
    <w:basedOn w:val="Normal"/>
    <w:link w:val="HeaderChar"/>
    <w:uiPriority w:val="99"/>
    <w:unhideWhenUsed/>
    <w:rsid w:val="0059502E"/>
    <w:pPr>
      <w:tabs>
        <w:tab w:val="center" w:pos="4680"/>
        <w:tab w:val="right" w:pos="9360"/>
      </w:tabs>
    </w:pPr>
  </w:style>
  <w:style w:type="character" w:customStyle="1" w:styleId="HeaderChar">
    <w:name w:val="Header Char"/>
    <w:basedOn w:val="DefaultParagraphFont"/>
    <w:link w:val="Header"/>
    <w:uiPriority w:val="99"/>
    <w:rsid w:val="0059502E"/>
    <w:rPr>
      <w:rFonts w:ascii="Times New Roman" w:eastAsia="Times New Roman" w:hAnsi="Times New Roman" w:cs="Times New Roman"/>
    </w:rPr>
  </w:style>
  <w:style w:type="paragraph" w:styleId="Footer">
    <w:name w:val="footer"/>
    <w:basedOn w:val="Normal"/>
    <w:link w:val="FooterChar"/>
    <w:uiPriority w:val="99"/>
    <w:unhideWhenUsed/>
    <w:rsid w:val="0059502E"/>
    <w:pPr>
      <w:tabs>
        <w:tab w:val="center" w:pos="4680"/>
        <w:tab w:val="right" w:pos="9360"/>
      </w:tabs>
    </w:pPr>
  </w:style>
  <w:style w:type="character" w:customStyle="1" w:styleId="FooterChar">
    <w:name w:val="Footer Char"/>
    <w:basedOn w:val="DefaultParagraphFont"/>
    <w:link w:val="Footer"/>
    <w:uiPriority w:val="99"/>
    <w:rsid w:val="0059502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B4F99"/>
    <w:rPr>
      <w:sz w:val="16"/>
      <w:szCs w:val="16"/>
    </w:rPr>
  </w:style>
  <w:style w:type="paragraph" w:styleId="CommentText">
    <w:name w:val="annotation text"/>
    <w:basedOn w:val="Normal"/>
    <w:link w:val="CommentTextChar"/>
    <w:uiPriority w:val="99"/>
    <w:semiHidden/>
    <w:unhideWhenUsed/>
    <w:rsid w:val="002B4F99"/>
    <w:rPr>
      <w:sz w:val="20"/>
      <w:szCs w:val="20"/>
    </w:rPr>
  </w:style>
  <w:style w:type="character" w:customStyle="1" w:styleId="CommentTextChar">
    <w:name w:val="Comment Text Char"/>
    <w:basedOn w:val="DefaultParagraphFont"/>
    <w:link w:val="CommentText"/>
    <w:uiPriority w:val="99"/>
    <w:semiHidden/>
    <w:rsid w:val="002B4F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F99"/>
    <w:rPr>
      <w:b/>
      <w:bCs/>
    </w:rPr>
  </w:style>
  <w:style w:type="character" w:customStyle="1" w:styleId="CommentSubjectChar">
    <w:name w:val="Comment Subject Char"/>
    <w:basedOn w:val="CommentTextChar"/>
    <w:link w:val="CommentSubject"/>
    <w:uiPriority w:val="99"/>
    <w:semiHidden/>
    <w:rsid w:val="002B4F99"/>
    <w:rPr>
      <w:rFonts w:ascii="Times New Roman" w:eastAsia="Times New Roman" w:hAnsi="Times New Roman" w:cs="Times New Roman"/>
      <w:b/>
      <w:bCs/>
      <w:sz w:val="20"/>
      <w:szCs w:val="20"/>
    </w:rPr>
  </w:style>
  <w:style w:type="paragraph" w:styleId="Revision">
    <w:name w:val="Revision"/>
    <w:hidden/>
    <w:uiPriority w:val="99"/>
    <w:semiHidden/>
    <w:rsid w:val="006A0780"/>
    <w:pPr>
      <w:widowControl/>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FootnoteText">
    <w:name w:val="footnote text"/>
    <w:basedOn w:val="Normal"/>
    <w:link w:val="FootnoteTextChar"/>
    <w:uiPriority w:val="99"/>
    <w:semiHidden/>
    <w:unhideWhenUsed/>
    <w:rsid w:val="00C517C8"/>
    <w:rPr>
      <w:sz w:val="20"/>
      <w:szCs w:val="20"/>
    </w:rPr>
  </w:style>
  <w:style w:type="character" w:customStyle="1" w:styleId="FootnoteTextChar">
    <w:name w:val="Footnote Text Char"/>
    <w:basedOn w:val="DefaultParagraphFont"/>
    <w:link w:val="FootnoteText"/>
    <w:uiPriority w:val="99"/>
    <w:semiHidden/>
    <w:rsid w:val="00C517C8"/>
    <w:rPr>
      <w:sz w:val="20"/>
      <w:szCs w:val="20"/>
    </w:rPr>
  </w:style>
  <w:style w:type="character" w:styleId="FootnoteReference">
    <w:name w:val="footnote reference"/>
    <w:basedOn w:val="DefaultParagraphFont"/>
    <w:uiPriority w:val="99"/>
    <w:semiHidden/>
    <w:unhideWhenUsed/>
    <w:rsid w:val="00C517C8"/>
    <w:rPr>
      <w:vertAlign w:val="superscript"/>
    </w:rPr>
  </w:style>
  <w:style w:type="paragraph" w:customStyle="1" w:styleId="URRCHeading1">
    <w:name w:val="URRC_Heading 1"/>
    <w:basedOn w:val="Normal"/>
    <w:uiPriority w:val="1"/>
    <w:qFormat/>
    <w:rsid w:val="00004F1B"/>
    <w:pPr>
      <w:numPr>
        <w:numId w:val="20"/>
      </w:numPr>
      <w:pBdr>
        <w:top w:val="nil"/>
        <w:left w:val="nil"/>
        <w:bottom w:val="nil"/>
        <w:right w:val="nil"/>
        <w:between w:val="nil"/>
      </w:pBdr>
      <w:spacing w:before="7"/>
    </w:pPr>
    <w:rPr>
      <w:rFonts w:ascii="Times New Roman Bold" w:hAnsi="Times New Roman Bold"/>
      <w:b/>
      <w:caps/>
      <w:color w:val="000000"/>
      <w:sz w:val="24"/>
      <w:szCs w:val="24"/>
    </w:rPr>
  </w:style>
  <w:style w:type="paragraph" w:customStyle="1" w:styleId="URRCHeading2">
    <w:name w:val="URRC_Heading 2"/>
    <w:basedOn w:val="Normal"/>
    <w:uiPriority w:val="1"/>
    <w:qFormat/>
    <w:rsid w:val="00004F1B"/>
    <w:pPr>
      <w:numPr>
        <w:ilvl w:val="1"/>
        <w:numId w:val="20"/>
      </w:numPr>
      <w:pBdr>
        <w:top w:val="nil"/>
        <w:left w:val="nil"/>
        <w:bottom w:val="nil"/>
        <w:right w:val="nil"/>
        <w:between w:val="nil"/>
      </w:pBdr>
      <w:spacing w:before="7"/>
    </w:pPr>
    <w:rPr>
      <w:rFonts w:ascii="Times New Roman Bold" w:hAnsi="Times New Roman Bold"/>
      <w:b/>
      <w:caps/>
      <w:color w:val="000000"/>
      <w:sz w:val="24"/>
      <w:szCs w:val="24"/>
    </w:rPr>
  </w:style>
  <w:style w:type="numbering" w:customStyle="1" w:styleId="URRCList">
    <w:name w:val="URRC_List"/>
    <w:uiPriority w:val="99"/>
    <w:rsid w:val="00004F1B"/>
    <w:pPr>
      <w:numPr>
        <w:numId w:val="15"/>
      </w:numPr>
    </w:pPr>
  </w:style>
  <w:style w:type="paragraph" w:styleId="TOC1">
    <w:name w:val="toc 1"/>
    <w:basedOn w:val="Normal"/>
    <w:next w:val="Normal"/>
    <w:autoRedefine/>
    <w:uiPriority w:val="39"/>
    <w:unhideWhenUsed/>
    <w:rsid w:val="00D92EF0"/>
    <w:pPr>
      <w:tabs>
        <w:tab w:val="left" w:pos="660"/>
        <w:tab w:val="right" w:leader="dot" w:pos="9350"/>
      </w:tabs>
      <w:spacing w:after="100"/>
    </w:pPr>
  </w:style>
  <w:style w:type="character" w:styleId="Hyperlink">
    <w:name w:val="Hyperlink"/>
    <w:basedOn w:val="DefaultParagraphFont"/>
    <w:uiPriority w:val="99"/>
    <w:unhideWhenUsed/>
    <w:rsid w:val="004033EA"/>
    <w:rPr>
      <w:color w:val="0000FF" w:themeColor="hyperlink"/>
      <w:u w:val="single"/>
    </w:rPr>
  </w:style>
  <w:style w:type="paragraph" w:styleId="TOC2">
    <w:name w:val="toc 2"/>
    <w:basedOn w:val="Normal"/>
    <w:next w:val="Normal"/>
    <w:autoRedefine/>
    <w:uiPriority w:val="39"/>
    <w:unhideWhenUsed/>
    <w:rsid w:val="00D92EF0"/>
    <w:pPr>
      <w:tabs>
        <w:tab w:val="left" w:pos="880"/>
        <w:tab w:val="right" w:leader="dot" w:pos="9350"/>
      </w:tabs>
      <w:spacing w:after="100"/>
      <w:ind w:left="220"/>
    </w:pPr>
  </w:style>
  <w:style w:type="paragraph" w:customStyle="1" w:styleId="Style1">
    <w:name w:val="Style1"/>
    <w:basedOn w:val="Heading2"/>
    <w:link w:val="Style1Char"/>
    <w:qFormat/>
    <w:rsid w:val="00710326"/>
    <w:pPr>
      <w:keepNext w:val="0"/>
      <w:keepLines w:val="0"/>
      <w:tabs>
        <w:tab w:val="num" w:pos="720"/>
      </w:tabs>
      <w:spacing w:before="0" w:after="0"/>
      <w:jc w:val="both"/>
    </w:pPr>
    <w:rPr>
      <w:rFonts w:ascii="Times New Roman Bold" w:hAnsi="Times New Roman Bold"/>
      <w:bCs/>
      <w:iCs/>
      <w:caps/>
      <w:sz w:val="28"/>
      <w:szCs w:val="24"/>
      <w:lang w:eastAsia="x-none"/>
    </w:rPr>
  </w:style>
  <w:style w:type="character" w:customStyle="1" w:styleId="Style1Char">
    <w:name w:val="Style1 Char"/>
    <w:link w:val="Style1"/>
    <w:rsid w:val="00710326"/>
    <w:rPr>
      <w:rFonts w:ascii="Times New Roman Bold" w:hAnsi="Times New Roman Bold"/>
      <w:b/>
      <w:bCs/>
      <w:iCs/>
      <w:caps/>
      <w:sz w:val="28"/>
      <w:szCs w:val="24"/>
      <w:lang w:eastAsia="x-none"/>
    </w:rPr>
  </w:style>
  <w:style w:type="character" w:styleId="UnresolvedMention">
    <w:name w:val="Unresolved Mention"/>
    <w:basedOn w:val="DefaultParagraphFont"/>
    <w:uiPriority w:val="99"/>
    <w:semiHidden/>
    <w:unhideWhenUsed/>
    <w:rsid w:val="00710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RC@gov.nu.ca"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9EwZaHqfPcsqMHa+Amp2xEwN0Kg==">AMUW2mVXm1RdxOB54c2RPv5eVvmRrhnXQNOk2NYqo/bmjnRs8MAqTKHxYkSputJ69dsQtCuWgvHZe18dCCYLwcxFhMTGSFO9IeBuTptyVQ7c1P5mieC1mB/rXglzdnYOfi6SHzX2UvqnmwJu3f97gU17OovqFiys3MYizEaJDmDOz6NAxyCNNOPpkLdi0cUZOLQAe3+bb6GpjTCZKPYUxZV/VfGFYA+tcqGC7TInunUTqYV7vZx9yBxu1f2n743M57ZnAjGnwP7hW2JvWqovUNsgEie5nPguSOQF44fGMJq4XYwzTGEwpBCLbibE8iagCbTv6jdv/nLJkDEB+RkHgA1WCC9xDazP2TUU2n7g018BppnARGrPaHLN4+BEEDkq32Id9h/zA8VP7OiLzo2JEnm/DySgarG5l1EiOjlOlRNdDyl5YaTBjKgwg/eA+6e3FRik8MvJ/xrPAjJn1BahDrWOKbmvpZdtfgeaHchaSzZnAst0T9nFk1zWjWoDPcMHQ0YQWCSc5aTp4rvXfMsy85sO1r5wXyx18TsUKfeXCtaQUK23ZbR0OmKjB6xeOoj34pWJPljCrZEyol172t0FNKb1PtVRkck0ttLvw4u16RZ5zL0fPg2PFwcRaWZNaKNJObH1ctVf5Nk92o2tgzX+4g4uGS8/2fgsTxf1Mph3widvt43n1duE70HMnWMq0lC1C/itS+nMSR4K6ocI4J6DRXOCa5/s+UFzs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176B61-F1BC-44F5-80D8-90AD255D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18</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Wade Vienneau</dc:creator>
  <cp:lastModifiedBy>Meriem - Parenty Reitmeier</cp:lastModifiedBy>
  <cp:revision>49</cp:revision>
  <dcterms:created xsi:type="dcterms:W3CDTF">2020-02-03T14:47:00Z</dcterms:created>
  <dcterms:modified xsi:type="dcterms:W3CDTF">2021-10-15T14:58:00Z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Acrobat PDFMaker 11 for Word</vt:lpwstr>
  </property>
  <property fmtid="{D5CDD505-2E9C-101B-9397-08002B2CF9AE}" pid="4" name="LastSaved">
    <vt:filetime>2019-02-23T00:00:00Z</vt:filetime>
  </property>
</Properties>
</file>